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1" w:lineRule="exact"/>
        <w:rPr>
          <w:sz w:val="24"/>
          <w:szCs w:val="24"/>
          <w:color w:val="auto"/>
        </w:rPr>
      </w:pPr>
    </w:p>
    <w:p>
      <w:pPr>
        <w:ind w:left="2540"/>
        <w:spacing w:after="0" w:line="491" w:lineRule="exact"/>
        <w:rPr>
          <w:sz w:val="20"/>
          <w:szCs w:val="20"/>
          <w:color w:val="auto"/>
        </w:rPr>
      </w:pPr>
      <w:r>
        <w:rPr>
          <w:rFonts w:ascii="宋体" w:cs="宋体" w:eastAsia="宋体" w:hAnsi="宋体"/>
          <w:sz w:val="43"/>
          <w:szCs w:val="43"/>
          <w:color w:val="auto"/>
        </w:rPr>
        <w:t>北京市信用法规政策汇编</w:t>
      </w:r>
    </w:p>
    <w:p>
      <w:pPr>
        <w:sectPr>
          <w:pgSz w:w="11900" w:h="16838" w:orient="portrait"/>
          <w:cols w:equalWidth="0" w:num="1">
            <w:col w:w="9026"/>
          </w:cols>
          <w:pgMar w:left="1440" w:top="1440" w:right="1440" w:bottom="144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28" w:lineRule="exact"/>
        <w:rPr>
          <w:sz w:val="24"/>
          <w:szCs w:val="24"/>
          <w:color w:val="auto"/>
        </w:rPr>
      </w:pPr>
    </w:p>
    <w:p>
      <w:pPr>
        <w:ind w:left="3860"/>
        <w:spacing w:after="0" w:line="502" w:lineRule="exact"/>
        <w:rPr>
          <w:sz w:val="20"/>
          <w:szCs w:val="20"/>
          <w:color w:val="auto"/>
        </w:rPr>
      </w:pPr>
      <w:r>
        <w:rPr>
          <w:rFonts w:ascii="宋体" w:cs="宋体" w:eastAsia="宋体" w:hAnsi="宋体"/>
          <w:sz w:val="44"/>
          <w:szCs w:val="44"/>
          <w:color w:val="auto"/>
        </w:rPr>
        <w:t>（第一期）</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69" w:lineRule="exact"/>
        <w:rPr>
          <w:sz w:val="24"/>
          <w:szCs w:val="24"/>
          <w:color w:val="auto"/>
        </w:rPr>
      </w:pPr>
    </w:p>
    <w:p>
      <w:pPr>
        <w:jc w:val="center"/>
        <w:ind w:right="-653"/>
        <w:spacing w:after="0" w:line="354" w:lineRule="exact"/>
        <w:rPr>
          <w:sz w:val="20"/>
          <w:szCs w:val="20"/>
          <w:color w:val="auto"/>
        </w:rPr>
      </w:pPr>
      <w:r>
        <w:rPr>
          <w:rFonts w:ascii="宋体" w:cs="宋体" w:eastAsia="宋体" w:hAnsi="宋体"/>
          <w:sz w:val="31"/>
          <w:szCs w:val="31"/>
          <w:color w:val="auto"/>
        </w:rPr>
        <w:t>北京市工商业联合会</w:t>
      </w:r>
    </w:p>
    <w:p>
      <w:pPr>
        <w:spacing w:after="0" w:line="205" w:lineRule="exact"/>
        <w:rPr>
          <w:sz w:val="24"/>
          <w:szCs w:val="24"/>
          <w:color w:val="auto"/>
        </w:rPr>
      </w:pPr>
    </w:p>
    <w:p>
      <w:pPr>
        <w:jc w:val="center"/>
        <w:ind w:right="-653"/>
        <w:spacing w:after="0" w:line="406" w:lineRule="exact"/>
        <w:rPr>
          <w:sz w:val="20"/>
          <w:szCs w:val="20"/>
          <w:color w:val="auto"/>
        </w:rPr>
      </w:pPr>
      <w:r>
        <w:rPr>
          <w:rFonts w:ascii="Calibri" w:cs="Calibri" w:eastAsia="Calibri" w:hAnsi="Calibri"/>
          <w:sz w:val="32"/>
          <w:szCs w:val="32"/>
          <w:color w:val="auto"/>
        </w:rPr>
        <w:t xml:space="preserve">2021 </w:t>
      </w:r>
      <w:r>
        <w:rPr>
          <w:rFonts w:ascii="宋体" w:cs="宋体" w:eastAsia="宋体" w:hAnsi="宋体"/>
          <w:sz w:val="32"/>
          <w:szCs w:val="32"/>
          <w:color w:val="auto"/>
        </w:rPr>
        <w:t>年</w:t>
      </w:r>
      <w:r>
        <w:rPr>
          <w:rFonts w:ascii="Calibri" w:cs="Calibri" w:eastAsia="Calibri" w:hAnsi="Calibri"/>
          <w:sz w:val="32"/>
          <w:szCs w:val="32"/>
          <w:color w:val="auto"/>
        </w:rPr>
        <w:t xml:space="preserve"> 4 </w:t>
      </w:r>
      <w:r>
        <w:rPr>
          <w:rFonts w:ascii="宋体" w:cs="宋体" w:eastAsia="宋体" w:hAnsi="宋体"/>
          <w:sz w:val="32"/>
          <w:szCs w:val="32"/>
          <w:color w:val="auto"/>
        </w:rPr>
        <w:t>月</w:t>
      </w:r>
    </w:p>
    <w:p>
      <w:pPr>
        <w:sectPr>
          <w:pgSz w:w="11900" w:h="16838" w:orient="portrait"/>
          <w:cols w:equalWidth="0" w:num="1">
            <w:col w:w="9026"/>
          </w:cols>
          <w:pgMar w:left="1440" w:top="1440" w:right="1440" w:bottom="1440" w:gutter="0" w:footer="0" w:header="0"/>
          <w:type w:val="continuous"/>
        </w:sectPr>
      </w:pPr>
    </w:p>
    <w:bookmarkStart w:id="1" w:name="page2"/>
    <w:bookmarkEnd w:id="1"/>
    <w:p>
      <w:pPr>
        <w:spacing w:after="0" w:line="87" w:lineRule="exact"/>
        <w:rPr>
          <w:sz w:val="20"/>
          <w:szCs w:val="20"/>
          <w:color w:val="auto"/>
        </w:rPr>
      </w:pPr>
    </w:p>
    <w:p>
      <w:pPr>
        <w:jc w:val="center"/>
        <w:ind w:right="6"/>
        <w:spacing w:after="0" w:line="411" w:lineRule="exact"/>
        <w:rPr>
          <w:sz w:val="20"/>
          <w:szCs w:val="20"/>
          <w:color w:val="auto"/>
        </w:rPr>
      </w:pPr>
      <w:r>
        <w:rPr>
          <w:rFonts w:ascii="宋体" w:cs="宋体" w:eastAsia="宋体" w:hAnsi="宋体"/>
          <w:sz w:val="36"/>
          <w:szCs w:val="36"/>
          <w:b w:val="1"/>
          <w:bCs w:val="1"/>
          <w:color w:val="auto"/>
        </w:rPr>
        <w:t>目 录</w:t>
      </w: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tbl>
      <w:tblPr>
        <w:tblLayout w:type="fixed"/>
        <w:tblInd w:w="360" w:type="dxa"/>
        <w:tblCellMar>
          <w:top w:w="0" w:type="dxa"/>
          <w:left w:w="0" w:type="dxa"/>
          <w:bottom w:w="0" w:type="dxa"/>
          <w:right w:w="0" w:type="dxa"/>
        </w:tblCellMar>
      </w:tblPr>
      <w:tr>
        <w:trPr>
          <w:trHeight w:val="399"/>
        </w:trPr>
        <w:tc>
          <w:tcPr>
            <w:tcW w:w="7840" w:type="dxa"/>
            <w:vAlign w:val="bottom"/>
          </w:tcPr>
          <w:p>
            <w:pPr>
              <w:spacing w:after="0" w:line="365" w:lineRule="exact"/>
              <w:rPr>
                <w:rFonts w:ascii="Times New Roman" w:cs="Times New Roman" w:eastAsia="Times New Roman" w:hAnsi="Times New Roman"/>
                <w:sz w:val="30"/>
                <w:szCs w:val="30"/>
                <w:color w:val="auto"/>
                <w:w w:val="99"/>
              </w:rPr>
            </w:pPr>
            <w:hyperlink w:anchor="page3">
              <w:r>
                <w:rPr>
                  <w:rFonts w:ascii="宋体" w:cs="宋体" w:eastAsia="宋体" w:hAnsi="宋体"/>
                  <w:sz w:val="30"/>
                  <w:szCs w:val="30"/>
                  <w:b w:val="1"/>
                  <w:bCs w:val="1"/>
                  <w:color w:val="auto"/>
                  <w:w w:val="99"/>
                </w:rPr>
                <w:t>第一部分 信用建设指导政策</w:t>
              </w:r>
              <w:r>
                <w:rPr>
                  <w:rFonts w:ascii="Times New Roman" w:cs="Times New Roman" w:eastAsia="Times New Roman" w:hAnsi="Times New Roman"/>
                  <w:sz w:val="30"/>
                  <w:szCs w:val="30"/>
                  <w:color w:val="auto"/>
                  <w:w w:val="99"/>
                </w:rPr>
                <w:t>.......................................................</w:t>
              </w:r>
            </w:hyperlink>
          </w:p>
        </w:tc>
        <w:tc>
          <w:tcPr>
            <w:tcW w:w="460" w:type="dxa"/>
            <w:vAlign w:val="bottom"/>
          </w:tcPr>
          <w:p>
            <w:pPr>
              <w:jc w:val="right"/>
              <w:spacing w:after="0"/>
              <w:rPr>
                <w:rFonts w:ascii="Calibri" w:cs="Calibri" w:eastAsia="Calibri" w:hAnsi="Calibri"/>
                <w:sz w:val="30"/>
                <w:szCs w:val="30"/>
                <w:color w:val="auto"/>
                <w:w w:val="93"/>
              </w:rPr>
            </w:pPr>
            <w:hyperlink w:anchor="page3">
              <w:r>
                <w:rPr>
                  <w:rFonts w:ascii="Calibri" w:cs="Calibri" w:eastAsia="Calibri" w:hAnsi="Calibri"/>
                  <w:sz w:val="30"/>
                  <w:szCs w:val="30"/>
                  <w:color w:val="auto"/>
                  <w:w w:val="93"/>
                </w:rPr>
                <w:t>- 1 -</w:t>
              </w:r>
            </w:hyperlink>
          </w:p>
        </w:tc>
      </w:tr>
    </w:tbl>
    <w:p>
      <w:pPr>
        <w:spacing w:after="0" w:line="178" w:lineRule="exact"/>
        <w:rPr>
          <w:sz w:val="20"/>
          <w:szCs w:val="20"/>
          <w:color w:val="auto"/>
        </w:rPr>
      </w:pPr>
    </w:p>
    <w:p>
      <w:pPr>
        <w:ind w:left="1000"/>
        <w:spacing w:after="0" w:line="381" w:lineRule="exact"/>
        <w:rPr>
          <w:rFonts w:ascii="Calibri" w:cs="Calibri" w:eastAsia="Calibri" w:hAnsi="Calibri"/>
          <w:sz w:val="30"/>
          <w:szCs w:val="30"/>
          <w:color w:val="auto"/>
        </w:rPr>
      </w:pPr>
      <w:hyperlink w:anchor="page3">
        <w:r>
          <w:rPr>
            <w:rFonts w:ascii="宋体" w:cs="宋体" w:eastAsia="宋体" w:hAnsi="宋体"/>
            <w:sz w:val="30"/>
            <w:szCs w:val="30"/>
            <w:color w:val="auto"/>
          </w:rPr>
          <w:t>北京市人民政府关于加快社会信用体系建设的实施意见</w:t>
        </w:r>
        <w:r>
          <w:rPr>
            <w:rFonts w:ascii="Calibri" w:cs="Calibri" w:eastAsia="Calibri" w:hAnsi="Calibri"/>
            <w:sz w:val="30"/>
            <w:szCs w:val="30"/>
            <w:color w:val="auto"/>
          </w:rPr>
          <w:t>- 1 -</w:t>
        </w:r>
      </w:hyperlink>
    </w:p>
    <w:p>
      <w:pPr>
        <w:spacing w:after="0" w:line="170" w:lineRule="exact"/>
        <w:rPr>
          <w:sz w:val="20"/>
          <w:szCs w:val="20"/>
          <w:color w:val="auto"/>
        </w:rPr>
      </w:pPr>
    </w:p>
    <w:p>
      <w:pPr>
        <w:ind w:left="1000"/>
        <w:spacing w:after="0" w:line="343" w:lineRule="exact"/>
        <w:rPr>
          <w:rFonts w:ascii="宋体" w:cs="宋体" w:eastAsia="宋体" w:hAnsi="宋体"/>
          <w:sz w:val="30"/>
          <w:szCs w:val="30"/>
          <w:color w:val="auto"/>
        </w:rPr>
      </w:pPr>
      <w:hyperlink w:anchor="page16">
        <w:r>
          <w:rPr>
            <w:rFonts w:ascii="宋体" w:cs="宋体" w:eastAsia="宋体" w:hAnsi="宋体"/>
            <w:sz w:val="30"/>
            <w:szCs w:val="30"/>
            <w:color w:val="auto"/>
          </w:rPr>
          <w:t>北京市人民政府办公厅印发《关于加快推进北京市社会信用</w:t>
        </w:r>
      </w:hyperlink>
    </w:p>
    <w:p>
      <w:pPr>
        <w:spacing w:after="0" w:line="217" w:lineRule="exact"/>
        <w:rPr>
          <w:sz w:val="20"/>
          <w:szCs w:val="20"/>
          <w:color w:val="auto"/>
        </w:rPr>
      </w:pPr>
    </w:p>
    <w:p>
      <w:pPr>
        <w:ind w:left="1000"/>
        <w:spacing w:after="0" w:line="343" w:lineRule="exact"/>
        <w:rPr>
          <w:rFonts w:ascii="宋体" w:cs="宋体" w:eastAsia="宋体" w:hAnsi="宋体"/>
          <w:sz w:val="30"/>
          <w:szCs w:val="30"/>
          <w:color w:val="auto"/>
        </w:rPr>
      </w:pPr>
      <w:hyperlink w:anchor="page16">
        <w:r>
          <w:rPr>
            <w:rFonts w:ascii="宋体" w:cs="宋体" w:eastAsia="宋体" w:hAnsi="宋体"/>
            <w:sz w:val="30"/>
            <w:szCs w:val="30"/>
            <w:color w:val="auto"/>
          </w:rPr>
          <w:t>体系建设构建以信用为基础的新型监管机制三年行动计划</w:t>
        </w:r>
      </w:hyperlink>
    </w:p>
    <w:p>
      <w:pPr>
        <w:spacing w:after="0" w:line="211" w:lineRule="exact"/>
        <w:rPr>
          <w:sz w:val="20"/>
          <w:szCs w:val="20"/>
          <w:color w:val="auto"/>
        </w:rPr>
      </w:pPr>
    </w:p>
    <w:tbl>
      <w:tblPr>
        <w:tblLayout w:type="fixed"/>
        <w:tblInd w:w="1000" w:type="dxa"/>
        <w:tblCellMar>
          <w:top w:w="0" w:type="dxa"/>
          <w:left w:w="0" w:type="dxa"/>
          <w:bottom w:w="0" w:type="dxa"/>
          <w:right w:w="0" w:type="dxa"/>
        </w:tblCellMar>
      </w:tblPr>
      <w:tr>
        <w:trPr>
          <w:trHeight w:val="399"/>
        </w:trPr>
        <w:tc>
          <w:tcPr>
            <w:tcW w:w="7040" w:type="dxa"/>
            <w:vAlign w:val="bottom"/>
          </w:tcPr>
          <w:p>
            <w:pPr>
              <w:spacing w:after="0" w:line="381" w:lineRule="exact"/>
              <w:rPr>
                <w:rFonts w:ascii="Calibri" w:cs="Calibri" w:eastAsia="Calibri" w:hAnsi="Calibri"/>
                <w:sz w:val="30"/>
                <w:szCs w:val="30"/>
                <w:color w:val="auto"/>
                <w:w w:val="99"/>
              </w:rPr>
            </w:pPr>
            <w:hyperlink w:anchor="page16">
              <w:r>
                <w:rPr>
                  <w:rFonts w:ascii="宋体" w:cs="宋体" w:eastAsia="宋体" w:hAnsi="宋体"/>
                  <w:sz w:val="30"/>
                  <w:szCs w:val="30"/>
                  <w:color w:val="auto"/>
                  <w:w w:val="99"/>
                </w:rPr>
                <w:t>（</w:t>
              </w:r>
              <w:r>
                <w:rPr>
                  <w:rFonts w:ascii="Calibri" w:cs="Calibri" w:eastAsia="Calibri" w:hAnsi="Calibri"/>
                  <w:sz w:val="30"/>
                  <w:szCs w:val="30"/>
                  <w:color w:val="auto"/>
                  <w:w w:val="99"/>
                </w:rPr>
                <w:t xml:space="preserve">2020-2022 </w:t>
              </w:r>
              <w:r>
                <w:rPr>
                  <w:rFonts w:ascii="宋体" w:cs="宋体" w:eastAsia="宋体" w:hAnsi="宋体"/>
                  <w:sz w:val="30"/>
                  <w:szCs w:val="30"/>
                  <w:color w:val="auto"/>
                  <w:w w:val="99"/>
                </w:rPr>
                <w:t>年）》的通知</w:t>
              </w:r>
              <w:r>
                <w:rPr>
                  <w:rFonts w:ascii="Times New Roman" w:cs="Times New Roman" w:eastAsia="Times New Roman" w:hAnsi="Times New Roman"/>
                  <w:sz w:val="30"/>
                  <w:szCs w:val="30"/>
                  <w:color w:val="auto"/>
                  <w:w w:val="99"/>
                </w:rPr>
                <w:t>................................................</w:t>
              </w:r>
            </w:hyperlink>
          </w:p>
        </w:tc>
        <w:tc>
          <w:tcPr>
            <w:tcW w:w="660" w:type="dxa"/>
            <w:vAlign w:val="bottom"/>
          </w:tcPr>
          <w:p>
            <w:pPr>
              <w:jc w:val="right"/>
              <w:spacing w:after="0"/>
              <w:rPr>
                <w:rFonts w:ascii="Calibri" w:cs="Calibri" w:eastAsia="Calibri" w:hAnsi="Calibri"/>
                <w:sz w:val="30"/>
                <w:szCs w:val="30"/>
                <w:color w:val="auto"/>
                <w:w w:val="96"/>
              </w:rPr>
            </w:pPr>
            <w:hyperlink w:anchor="page16">
              <w:r>
                <w:rPr>
                  <w:rFonts w:ascii="Calibri" w:cs="Calibri" w:eastAsia="Calibri" w:hAnsi="Calibri"/>
                  <w:sz w:val="30"/>
                  <w:szCs w:val="30"/>
                  <w:color w:val="auto"/>
                  <w:w w:val="96"/>
                </w:rPr>
                <w:t>- 14 -</w:t>
              </w:r>
            </w:hyperlink>
          </w:p>
        </w:tc>
        <w:tc>
          <w:tcPr>
            <w:tcW w:w="120" w:type="dxa"/>
            <w:vAlign w:val="bottom"/>
          </w:tcPr>
          <w:p>
            <w:pPr>
              <w:spacing w:after="0"/>
              <w:rPr>
                <w:sz w:val="24"/>
                <w:szCs w:val="24"/>
                <w:color w:val="auto"/>
              </w:rPr>
            </w:pPr>
          </w:p>
        </w:tc>
      </w:tr>
      <w:tr>
        <w:trPr>
          <w:trHeight w:val="562"/>
        </w:trPr>
        <w:tc>
          <w:tcPr>
            <w:tcW w:w="7040" w:type="dxa"/>
            <w:vAlign w:val="bottom"/>
          </w:tcPr>
          <w:p>
            <w:pPr>
              <w:spacing w:after="0" w:line="365" w:lineRule="exact"/>
              <w:rPr>
                <w:rFonts w:ascii="Times New Roman" w:cs="Times New Roman" w:eastAsia="Times New Roman" w:hAnsi="Times New Roman"/>
                <w:sz w:val="30"/>
                <w:szCs w:val="30"/>
                <w:color w:val="auto"/>
                <w:w w:val="99"/>
              </w:rPr>
            </w:pPr>
            <w:hyperlink w:anchor="page24">
              <w:r>
                <w:rPr>
                  <w:rFonts w:ascii="宋体" w:cs="宋体" w:eastAsia="宋体" w:hAnsi="宋体"/>
                  <w:sz w:val="30"/>
                  <w:szCs w:val="30"/>
                  <w:color w:val="auto"/>
                  <w:w w:val="99"/>
                </w:rPr>
                <w:t>北京市优化营商环境条例（节选）</w:t>
              </w:r>
              <w:r>
                <w:rPr>
                  <w:rFonts w:ascii="Times New Roman" w:cs="Times New Roman" w:eastAsia="Times New Roman" w:hAnsi="Times New Roman"/>
                  <w:sz w:val="30"/>
                  <w:szCs w:val="30"/>
                  <w:color w:val="auto"/>
                  <w:w w:val="99"/>
                </w:rPr>
                <w:t>..................................</w:t>
              </w:r>
            </w:hyperlink>
          </w:p>
        </w:tc>
        <w:tc>
          <w:tcPr>
            <w:tcW w:w="660" w:type="dxa"/>
            <w:vAlign w:val="bottom"/>
          </w:tcPr>
          <w:p>
            <w:pPr>
              <w:jc w:val="right"/>
              <w:spacing w:after="0"/>
              <w:rPr>
                <w:rFonts w:ascii="Calibri" w:cs="Calibri" w:eastAsia="Calibri" w:hAnsi="Calibri"/>
                <w:sz w:val="30"/>
                <w:szCs w:val="30"/>
                <w:color w:val="auto"/>
                <w:w w:val="96"/>
              </w:rPr>
            </w:pPr>
            <w:hyperlink w:anchor="page24">
              <w:r>
                <w:rPr>
                  <w:rFonts w:ascii="Calibri" w:cs="Calibri" w:eastAsia="Calibri" w:hAnsi="Calibri"/>
                  <w:sz w:val="30"/>
                  <w:szCs w:val="30"/>
                  <w:color w:val="auto"/>
                  <w:w w:val="96"/>
                </w:rPr>
                <w:t>- 22 -</w:t>
              </w:r>
            </w:hyperlink>
          </w:p>
        </w:tc>
        <w:tc>
          <w:tcPr>
            <w:tcW w:w="120" w:type="dxa"/>
            <w:vAlign w:val="bottom"/>
          </w:tcPr>
          <w:p>
            <w:pPr>
              <w:spacing w:after="0"/>
              <w:rPr>
                <w:sz w:val="24"/>
                <w:szCs w:val="24"/>
                <w:color w:val="auto"/>
              </w:rPr>
            </w:pPr>
          </w:p>
        </w:tc>
      </w:tr>
      <w:tr>
        <w:trPr>
          <w:trHeight w:val="559"/>
        </w:trPr>
        <w:tc>
          <w:tcPr>
            <w:tcW w:w="7700" w:type="dxa"/>
            <w:vAlign w:val="bottom"/>
            <w:gridSpan w:val="2"/>
          </w:tcPr>
          <w:p>
            <w:pPr>
              <w:jc w:val="right"/>
              <w:spacing w:after="0" w:line="381" w:lineRule="exact"/>
              <w:rPr>
                <w:rFonts w:ascii="Calibri" w:cs="Calibri" w:eastAsia="Calibri" w:hAnsi="Calibri"/>
                <w:sz w:val="30"/>
                <w:szCs w:val="30"/>
                <w:color w:val="auto"/>
                <w:w w:val="99"/>
              </w:rPr>
            </w:pPr>
            <w:hyperlink w:anchor="page25">
              <w:r>
                <w:rPr>
                  <w:rFonts w:ascii="宋体" w:cs="宋体" w:eastAsia="宋体" w:hAnsi="宋体"/>
                  <w:sz w:val="30"/>
                  <w:szCs w:val="30"/>
                  <w:color w:val="auto"/>
                  <w:w w:val="99"/>
                </w:rPr>
                <w:t>北京市进一步优化营商环境更好服务市场主体实施方案</w:t>
              </w:r>
              <w:r>
                <w:rPr>
                  <w:rFonts w:ascii="Calibri" w:cs="Calibri" w:eastAsia="Calibri" w:hAnsi="Calibri"/>
                  <w:sz w:val="30"/>
                  <w:szCs w:val="30"/>
                  <w:color w:val="auto"/>
                  <w:w w:val="99"/>
                </w:rPr>
                <w:t>- 23</w:t>
              </w:r>
            </w:hyperlink>
          </w:p>
        </w:tc>
        <w:tc>
          <w:tcPr>
            <w:tcW w:w="120" w:type="dxa"/>
            <w:vAlign w:val="bottom"/>
          </w:tcPr>
          <w:p>
            <w:pPr>
              <w:jc w:val="right"/>
              <w:spacing w:after="0"/>
              <w:rPr>
                <w:rFonts w:ascii="Calibri" w:cs="Calibri" w:eastAsia="Calibri" w:hAnsi="Calibri"/>
                <w:sz w:val="30"/>
                <w:szCs w:val="30"/>
                <w:color w:val="auto"/>
              </w:rPr>
            </w:pPr>
            <w:hyperlink w:anchor="page25">
              <w:r>
                <w:rPr>
                  <w:rFonts w:ascii="Calibri" w:cs="Calibri" w:eastAsia="Calibri" w:hAnsi="Calibri"/>
                  <w:sz w:val="30"/>
                  <w:szCs w:val="30"/>
                  <w:color w:val="auto"/>
                </w:rPr>
                <w:t>-</w:t>
              </w:r>
            </w:hyperlink>
          </w:p>
        </w:tc>
      </w:tr>
      <w:tr>
        <w:trPr>
          <w:trHeight w:val="559"/>
        </w:trPr>
        <w:tc>
          <w:tcPr>
            <w:tcW w:w="7040" w:type="dxa"/>
            <w:vAlign w:val="bottom"/>
          </w:tcPr>
          <w:p>
            <w:pPr>
              <w:spacing w:after="0" w:line="365" w:lineRule="exact"/>
              <w:rPr>
                <w:rFonts w:ascii="Times New Roman" w:cs="Times New Roman" w:eastAsia="Times New Roman" w:hAnsi="Times New Roman"/>
                <w:sz w:val="30"/>
                <w:szCs w:val="30"/>
                <w:color w:val="auto"/>
                <w:w w:val="99"/>
              </w:rPr>
            </w:pPr>
            <w:hyperlink w:anchor="page45">
              <w:r>
                <w:rPr>
                  <w:rFonts w:ascii="宋体" w:cs="宋体" w:eastAsia="宋体" w:hAnsi="宋体"/>
                  <w:sz w:val="30"/>
                  <w:szCs w:val="30"/>
                  <w:color w:val="auto"/>
                  <w:w w:val="99"/>
                </w:rPr>
                <w:t>北京市公共信用信息管理办法</w:t>
              </w:r>
              <w:r>
                <w:rPr>
                  <w:rFonts w:ascii="Times New Roman" w:cs="Times New Roman" w:eastAsia="Times New Roman" w:hAnsi="Times New Roman"/>
                  <w:sz w:val="30"/>
                  <w:szCs w:val="30"/>
                  <w:color w:val="auto"/>
                  <w:w w:val="99"/>
                </w:rPr>
                <w:t>..........................................</w:t>
              </w:r>
            </w:hyperlink>
          </w:p>
        </w:tc>
        <w:tc>
          <w:tcPr>
            <w:tcW w:w="660" w:type="dxa"/>
            <w:vAlign w:val="bottom"/>
          </w:tcPr>
          <w:p>
            <w:pPr>
              <w:jc w:val="right"/>
              <w:spacing w:after="0"/>
              <w:rPr>
                <w:rFonts w:ascii="Calibri" w:cs="Calibri" w:eastAsia="Calibri" w:hAnsi="Calibri"/>
                <w:sz w:val="30"/>
                <w:szCs w:val="30"/>
                <w:color w:val="auto"/>
                <w:w w:val="96"/>
              </w:rPr>
            </w:pPr>
            <w:hyperlink w:anchor="page45">
              <w:r>
                <w:rPr>
                  <w:rFonts w:ascii="Calibri" w:cs="Calibri" w:eastAsia="Calibri" w:hAnsi="Calibri"/>
                  <w:sz w:val="30"/>
                  <w:szCs w:val="30"/>
                  <w:color w:val="auto"/>
                  <w:w w:val="96"/>
                </w:rPr>
                <w:t>- 43 -</w:t>
              </w:r>
            </w:hyperlink>
          </w:p>
        </w:tc>
        <w:tc>
          <w:tcPr>
            <w:tcW w:w="120" w:type="dxa"/>
            <w:vAlign w:val="bottom"/>
          </w:tcPr>
          <w:p>
            <w:pPr>
              <w:spacing w:after="0"/>
              <w:rPr>
                <w:sz w:val="24"/>
                <w:szCs w:val="2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tbl>
      <w:tblPr>
        <w:tblLayout w:type="fixed"/>
        <w:tblInd w:w="360" w:type="dxa"/>
        <w:tblCellMar>
          <w:top w:w="0" w:type="dxa"/>
          <w:left w:w="0" w:type="dxa"/>
          <w:bottom w:w="0" w:type="dxa"/>
          <w:right w:w="0" w:type="dxa"/>
        </w:tblCellMar>
      </w:tblPr>
      <w:tr>
        <w:trPr>
          <w:trHeight w:val="399"/>
        </w:trPr>
        <w:tc>
          <w:tcPr>
            <w:tcW w:w="7680" w:type="dxa"/>
            <w:vAlign w:val="bottom"/>
          </w:tcPr>
          <w:p>
            <w:pPr>
              <w:spacing w:after="0" w:line="365" w:lineRule="exact"/>
              <w:rPr>
                <w:rFonts w:ascii="Times New Roman" w:cs="Times New Roman" w:eastAsia="Times New Roman" w:hAnsi="Times New Roman"/>
                <w:sz w:val="30"/>
                <w:szCs w:val="30"/>
                <w:color w:val="auto"/>
                <w:w w:val="99"/>
              </w:rPr>
            </w:pPr>
            <w:hyperlink w:anchor="page53">
              <w:r>
                <w:rPr>
                  <w:rFonts w:ascii="宋体" w:cs="宋体" w:eastAsia="宋体" w:hAnsi="宋体"/>
                  <w:sz w:val="30"/>
                  <w:szCs w:val="30"/>
                  <w:b w:val="1"/>
                  <w:bCs w:val="1"/>
                  <w:color w:val="auto"/>
                  <w:w w:val="99"/>
                </w:rPr>
                <w:t>第二部分 相关行业规章</w:t>
              </w:r>
              <w:r>
                <w:rPr>
                  <w:rFonts w:ascii="Times New Roman" w:cs="Times New Roman" w:eastAsia="Times New Roman" w:hAnsi="Times New Roman"/>
                  <w:sz w:val="30"/>
                  <w:szCs w:val="30"/>
                  <w:color w:val="auto"/>
                  <w:w w:val="99"/>
                </w:rPr>
                <w:t>.............................................................</w:t>
              </w:r>
            </w:hyperlink>
          </w:p>
        </w:tc>
        <w:tc>
          <w:tcPr>
            <w:tcW w:w="760" w:type="dxa"/>
            <w:vAlign w:val="bottom"/>
          </w:tcPr>
          <w:p>
            <w:pPr>
              <w:jc w:val="right"/>
              <w:spacing w:after="0"/>
              <w:rPr>
                <w:rFonts w:ascii="Calibri" w:cs="Calibri" w:eastAsia="Calibri" w:hAnsi="Calibri"/>
                <w:sz w:val="30"/>
                <w:szCs w:val="30"/>
                <w:color w:val="auto"/>
                <w:w w:val="96"/>
              </w:rPr>
            </w:pPr>
            <w:hyperlink w:anchor="page53">
              <w:r>
                <w:rPr>
                  <w:rFonts w:ascii="Calibri" w:cs="Calibri" w:eastAsia="Calibri" w:hAnsi="Calibri"/>
                  <w:sz w:val="30"/>
                  <w:szCs w:val="30"/>
                  <w:color w:val="auto"/>
                  <w:w w:val="96"/>
                </w:rPr>
                <w:t>- 51 -</w:t>
              </w:r>
            </w:hyperlink>
          </w:p>
        </w:tc>
      </w:tr>
      <w:tr>
        <w:trPr>
          <w:trHeight w:val="512"/>
        </w:trPr>
        <w:tc>
          <w:tcPr>
            <w:tcW w:w="8440" w:type="dxa"/>
            <w:vAlign w:val="bottom"/>
            <w:gridSpan w:val="2"/>
          </w:tcPr>
          <w:p>
            <w:pPr>
              <w:ind w:left="640"/>
              <w:spacing w:after="0" w:line="343" w:lineRule="exact"/>
              <w:rPr>
                <w:rFonts w:ascii="宋体" w:cs="宋体" w:eastAsia="宋体" w:hAnsi="宋体"/>
                <w:sz w:val="30"/>
                <w:szCs w:val="30"/>
                <w:color w:val="auto"/>
                <w:w w:val="99"/>
              </w:rPr>
            </w:pPr>
            <w:hyperlink w:anchor="page54">
              <w:r>
                <w:rPr>
                  <w:rFonts w:ascii="宋体" w:cs="宋体" w:eastAsia="宋体" w:hAnsi="宋体"/>
                  <w:sz w:val="30"/>
                  <w:szCs w:val="30"/>
                  <w:color w:val="auto"/>
                  <w:w w:val="99"/>
                </w:rPr>
                <w:t>北京市文化和旅游行业信用分级分类监管管理办法（试行）</w:t>
              </w:r>
            </w:hyperlink>
          </w:p>
        </w:tc>
      </w:tr>
      <w:tr>
        <w:trPr>
          <w:trHeight w:val="609"/>
        </w:trPr>
        <w:tc>
          <w:tcPr>
            <w:tcW w:w="7680" w:type="dxa"/>
            <w:vAlign w:val="bottom"/>
          </w:tcPr>
          <w:p>
            <w:pPr>
              <w:ind w:left="640"/>
              <w:spacing w:after="0"/>
              <w:rPr>
                <w:rFonts w:ascii="Times New Roman" w:cs="Times New Roman" w:eastAsia="Times New Roman" w:hAnsi="Times New Roman"/>
                <w:sz w:val="30"/>
                <w:szCs w:val="30"/>
                <w:color w:val="auto"/>
                <w:w w:val="98"/>
              </w:rPr>
            </w:pPr>
            <w:hyperlink w:anchor="page54">
              <w:r>
                <w:rPr>
                  <w:rFonts w:ascii="Times New Roman" w:cs="Times New Roman" w:eastAsia="Times New Roman" w:hAnsi="Times New Roman"/>
                  <w:sz w:val="30"/>
                  <w:szCs w:val="30"/>
                  <w:color w:val="auto"/>
                  <w:w w:val="98"/>
                </w:rPr>
                <w:t>...............................................................................................</w:t>
              </w:r>
            </w:hyperlink>
          </w:p>
        </w:tc>
        <w:tc>
          <w:tcPr>
            <w:tcW w:w="760" w:type="dxa"/>
            <w:vAlign w:val="bottom"/>
          </w:tcPr>
          <w:p>
            <w:pPr>
              <w:jc w:val="right"/>
              <w:spacing w:after="0"/>
              <w:rPr>
                <w:rFonts w:ascii="Calibri" w:cs="Calibri" w:eastAsia="Calibri" w:hAnsi="Calibri"/>
                <w:sz w:val="30"/>
                <w:szCs w:val="30"/>
                <w:color w:val="auto"/>
                <w:w w:val="96"/>
              </w:rPr>
            </w:pPr>
            <w:hyperlink w:anchor="page54">
              <w:r>
                <w:rPr>
                  <w:rFonts w:ascii="Calibri" w:cs="Calibri" w:eastAsia="Calibri" w:hAnsi="Calibri"/>
                  <w:sz w:val="30"/>
                  <w:szCs w:val="30"/>
                  <w:color w:val="auto"/>
                  <w:w w:val="96"/>
                </w:rPr>
                <w:t>- 52 -</w:t>
              </w:r>
            </w:hyperlink>
          </w:p>
        </w:tc>
      </w:tr>
      <w:tr>
        <w:trPr>
          <w:trHeight w:val="559"/>
        </w:trPr>
        <w:tc>
          <w:tcPr>
            <w:tcW w:w="7680" w:type="dxa"/>
            <w:vAlign w:val="bottom"/>
          </w:tcPr>
          <w:p>
            <w:pPr>
              <w:ind w:left="640"/>
              <w:spacing w:after="0" w:line="365" w:lineRule="exact"/>
              <w:rPr>
                <w:rFonts w:ascii="Times New Roman" w:cs="Times New Roman" w:eastAsia="Times New Roman" w:hAnsi="Times New Roman"/>
                <w:sz w:val="30"/>
                <w:szCs w:val="30"/>
                <w:color w:val="auto"/>
                <w:w w:val="99"/>
              </w:rPr>
            </w:pPr>
            <w:hyperlink w:anchor="page60">
              <w:r>
                <w:rPr>
                  <w:rFonts w:ascii="宋体" w:cs="宋体" w:eastAsia="宋体" w:hAnsi="宋体"/>
                  <w:sz w:val="30"/>
                  <w:szCs w:val="30"/>
                  <w:color w:val="auto"/>
                  <w:w w:val="99"/>
                </w:rPr>
                <w:t>北京市生活垃圾管理条例（节选）</w:t>
              </w:r>
              <w:r>
                <w:rPr>
                  <w:rFonts w:ascii="Times New Roman" w:cs="Times New Roman" w:eastAsia="Times New Roman" w:hAnsi="Times New Roman"/>
                  <w:sz w:val="30"/>
                  <w:szCs w:val="30"/>
                  <w:color w:val="auto"/>
                  <w:w w:val="99"/>
                </w:rPr>
                <w:t>..................................</w:t>
              </w:r>
            </w:hyperlink>
          </w:p>
        </w:tc>
        <w:tc>
          <w:tcPr>
            <w:tcW w:w="760" w:type="dxa"/>
            <w:vAlign w:val="bottom"/>
          </w:tcPr>
          <w:p>
            <w:pPr>
              <w:jc w:val="right"/>
              <w:spacing w:after="0"/>
              <w:rPr>
                <w:rFonts w:ascii="Calibri" w:cs="Calibri" w:eastAsia="Calibri" w:hAnsi="Calibri"/>
                <w:sz w:val="30"/>
                <w:szCs w:val="30"/>
                <w:color w:val="auto"/>
                <w:w w:val="96"/>
              </w:rPr>
            </w:pPr>
            <w:hyperlink w:anchor="page60">
              <w:r>
                <w:rPr>
                  <w:rFonts w:ascii="Calibri" w:cs="Calibri" w:eastAsia="Calibri" w:hAnsi="Calibri"/>
                  <w:sz w:val="30"/>
                  <w:szCs w:val="30"/>
                  <w:color w:val="auto"/>
                  <w:w w:val="96"/>
                </w:rPr>
                <w:t>- 58 -</w:t>
              </w:r>
            </w:hyperlink>
          </w:p>
        </w:tc>
      </w:tr>
      <w:tr>
        <w:trPr>
          <w:trHeight w:val="559"/>
        </w:trPr>
        <w:tc>
          <w:tcPr>
            <w:tcW w:w="7680" w:type="dxa"/>
            <w:vAlign w:val="bottom"/>
          </w:tcPr>
          <w:p>
            <w:pPr>
              <w:ind w:left="640"/>
              <w:spacing w:after="0" w:line="365" w:lineRule="exact"/>
              <w:rPr>
                <w:rFonts w:ascii="Times New Roman" w:cs="Times New Roman" w:eastAsia="Times New Roman" w:hAnsi="Times New Roman"/>
                <w:sz w:val="30"/>
                <w:szCs w:val="30"/>
                <w:color w:val="auto"/>
                <w:w w:val="99"/>
              </w:rPr>
            </w:pPr>
            <w:hyperlink w:anchor="page62">
              <w:r>
                <w:rPr>
                  <w:rFonts w:ascii="宋体" w:cs="宋体" w:eastAsia="宋体" w:hAnsi="宋体"/>
                  <w:sz w:val="30"/>
                  <w:szCs w:val="30"/>
                  <w:color w:val="auto"/>
                  <w:w w:val="99"/>
                </w:rPr>
                <w:t>北京市物业管理条例（节选）</w:t>
              </w:r>
              <w:r>
                <w:rPr>
                  <w:rFonts w:ascii="Times New Roman" w:cs="Times New Roman" w:eastAsia="Times New Roman" w:hAnsi="Times New Roman"/>
                  <w:sz w:val="30"/>
                  <w:szCs w:val="30"/>
                  <w:color w:val="auto"/>
                  <w:w w:val="99"/>
                </w:rPr>
                <w:t>..........................................</w:t>
              </w:r>
            </w:hyperlink>
          </w:p>
        </w:tc>
        <w:tc>
          <w:tcPr>
            <w:tcW w:w="760" w:type="dxa"/>
            <w:vAlign w:val="bottom"/>
          </w:tcPr>
          <w:p>
            <w:pPr>
              <w:jc w:val="right"/>
              <w:spacing w:after="0"/>
              <w:rPr>
                <w:rFonts w:ascii="Calibri" w:cs="Calibri" w:eastAsia="Calibri" w:hAnsi="Calibri"/>
                <w:sz w:val="30"/>
                <w:szCs w:val="30"/>
                <w:color w:val="auto"/>
                <w:w w:val="96"/>
              </w:rPr>
            </w:pPr>
            <w:hyperlink w:anchor="page62">
              <w:r>
                <w:rPr>
                  <w:rFonts w:ascii="Calibri" w:cs="Calibri" w:eastAsia="Calibri" w:hAnsi="Calibri"/>
                  <w:sz w:val="30"/>
                  <w:szCs w:val="30"/>
                  <w:color w:val="auto"/>
                  <w:w w:val="96"/>
                </w:rPr>
                <w:t>- 60 -</w:t>
              </w:r>
            </w:hyperlink>
          </w:p>
        </w:tc>
      </w:tr>
      <w:tr>
        <w:trPr>
          <w:trHeight w:val="512"/>
        </w:trPr>
        <w:tc>
          <w:tcPr>
            <w:tcW w:w="8440" w:type="dxa"/>
            <w:vAlign w:val="bottom"/>
            <w:gridSpan w:val="2"/>
          </w:tcPr>
          <w:p>
            <w:pPr>
              <w:ind w:left="640"/>
              <w:spacing w:after="0" w:line="343" w:lineRule="exact"/>
              <w:rPr>
                <w:rFonts w:ascii="宋体" w:cs="宋体" w:eastAsia="宋体" w:hAnsi="宋体"/>
                <w:sz w:val="30"/>
                <w:szCs w:val="30"/>
                <w:color w:val="auto"/>
                <w:w w:val="99"/>
              </w:rPr>
            </w:pPr>
            <w:hyperlink w:anchor="page64">
              <w:r>
                <w:rPr>
                  <w:rFonts w:ascii="宋体" w:cs="宋体" w:eastAsia="宋体" w:hAnsi="宋体"/>
                  <w:sz w:val="30"/>
                  <w:szCs w:val="30"/>
                  <w:color w:val="auto"/>
                  <w:w w:val="99"/>
                </w:rPr>
                <w:t>北京市机动车和非道路移动机械排放污染防治条例（节选）</w:t>
              </w:r>
            </w:hyperlink>
          </w:p>
        </w:tc>
      </w:tr>
      <w:tr>
        <w:trPr>
          <w:trHeight w:val="609"/>
        </w:trPr>
        <w:tc>
          <w:tcPr>
            <w:tcW w:w="7680" w:type="dxa"/>
            <w:vAlign w:val="bottom"/>
          </w:tcPr>
          <w:p>
            <w:pPr>
              <w:ind w:left="640"/>
              <w:spacing w:after="0"/>
              <w:rPr>
                <w:rFonts w:ascii="Times New Roman" w:cs="Times New Roman" w:eastAsia="Times New Roman" w:hAnsi="Times New Roman"/>
                <w:sz w:val="30"/>
                <w:szCs w:val="30"/>
                <w:color w:val="auto"/>
                <w:w w:val="98"/>
              </w:rPr>
            </w:pPr>
            <w:hyperlink w:anchor="page64">
              <w:r>
                <w:rPr>
                  <w:rFonts w:ascii="Times New Roman" w:cs="Times New Roman" w:eastAsia="Times New Roman" w:hAnsi="Times New Roman"/>
                  <w:sz w:val="30"/>
                  <w:szCs w:val="30"/>
                  <w:color w:val="auto"/>
                  <w:w w:val="98"/>
                </w:rPr>
                <w:t>...............................................................................................</w:t>
              </w:r>
            </w:hyperlink>
          </w:p>
        </w:tc>
        <w:tc>
          <w:tcPr>
            <w:tcW w:w="760" w:type="dxa"/>
            <w:vAlign w:val="bottom"/>
          </w:tcPr>
          <w:p>
            <w:pPr>
              <w:jc w:val="right"/>
              <w:spacing w:after="0"/>
              <w:rPr>
                <w:rFonts w:ascii="Calibri" w:cs="Calibri" w:eastAsia="Calibri" w:hAnsi="Calibri"/>
                <w:sz w:val="30"/>
                <w:szCs w:val="30"/>
                <w:color w:val="auto"/>
                <w:w w:val="96"/>
              </w:rPr>
            </w:pPr>
            <w:hyperlink w:anchor="page64">
              <w:r>
                <w:rPr>
                  <w:rFonts w:ascii="Calibri" w:cs="Calibri" w:eastAsia="Calibri" w:hAnsi="Calibri"/>
                  <w:sz w:val="30"/>
                  <w:szCs w:val="30"/>
                  <w:color w:val="auto"/>
                  <w:w w:val="96"/>
                </w:rPr>
                <w:t>- 62 -</w:t>
              </w:r>
            </w:hyperlink>
          </w:p>
        </w:tc>
      </w:tr>
      <w:tr>
        <w:trPr>
          <w:trHeight w:val="559"/>
        </w:trPr>
        <w:tc>
          <w:tcPr>
            <w:tcW w:w="7680" w:type="dxa"/>
            <w:vAlign w:val="bottom"/>
          </w:tcPr>
          <w:p>
            <w:pPr>
              <w:ind w:left="640"/>
              <w:spacing w:after="0" w:line="365" w:lineRule="exact"/>
              <w:rPr>
                <w:rFonts w:ascii="Times New Roman" w:cs="Times New Roman" w:eastAsia="Times New Roman" w:hAnsi="Times New Roman"/>
                <w:sz w:val="30"/>
                <w:szCs w:val="30"/>
                <w:color w:val="auto"/>
                <w:w w:val="99"/>
              </w:rPr>
            </w:pPr>
            <w:hyperlink w:anchor="page64">
              <w:r>
                <w:rPr>
                  <w:rFonts w:ascii="宋体" w:cs="宋体" w:eastAsia="宋体" w:hAnsi="宋体"/>
                  <w:sz w:val="30"/>
                  <w:szCs w:val="30"/>
                  <w:color w:val="auto"/>
                  <w:w w:val="99"/>
                </w:rPr>
                <w:t>北京市大气污染防治条例（节选）</w:t>
              </w:r>
              <w:r>
                <w:rPr>
                  <w:rFonts w:ascii="Times New Roman" w:cs="Times New Roman" w:eastAsia="Times New Roman" w:hAnsi="Times New Roman"/>
                  <w:sz w:val="30"/>
                  <w:szCs w:val="30"/>
                  <w:color w:val="auto"/>
                  <w:w w:val="99"/>
                </w:rPr>
                <w:t>..................................</w:t>
              </w:r>
            </w:hyperlink>
          </w:p>
        </w:tc>
        <w:tc>
          <w:tcPr>
            <w:tcW w:w="760" w:type="dxa"/>
            <w:vAlign w:val="bottom"/>
          </w:tcPr>
          <w:p>
            <w:pPr>
              <w:jc w:val="right"/>
              <w:spacing w:after="0"/>
              <w:rPr>
                <w:rFonts w:ascii="Calibri" w:cs="Calibri" w:eastAsia="Calibri" w:hAnsi="Calibri"/>
                <w:sz w:val="30"/>
                <w:szCs w:val="30"/>
                <w:color w:val="auto"/>
                <w:w w:val="96"/>
              </w:rPr>
            </w:pPr>
            <w:hyperlink w:anchor="page64">
              <w:r>
                <w:rPr>
                  <w:rFonts w:ascii="Calibri" w:cs="Calibri" w:eastAsia="Calibri" w:hAnsi="Calibri"/>
                  <w:sz w:val="30"/>
                  <w:szCs w:val="30"/>
                  <w:color w:val="auto"/>
                  <w:w w:val="96"/>
                </w:rPr>
                <w:t>- 63 -</w:t>
              </w:r>
            </w:hyperlink>
          </w:p>
        </w:tc>
      </w:tr>
      <w:tr>
        <w:trPr>
          <w:trHeight w:val="562"/>
        </w:trPr>
        <w:tc>
          <w:tcPr>
            <w:tcW w:w="7680" w:type="dxa"/>
            <w:vAlign w:val="bottom"/>
          </w:tcPr>
          <w:p>
            <w:pPr>
              <w:ind w:left="640"/>
              <w:spacing w:after="0" w:line="365" w:lineRule="exact"/>
              <w:rPr>
                <w:rFonts w:ascii="Times New Roman" w:cs="Times New Roman" w:eastAsia="Times New Roman" w:hAnsi="Times New Roman"/>
                <w:sz w:val="30"/>
                <w:szCs w:val="30"/>
                <w:color w:val="auto"/>
                <w:w w:val="99"/>
              </w:rPr>
            </w:pPr>
            <w:hyperlink w:anchor="page66">
              <w:r>
                <w:rPr>
                  <w:rFonts w:ascii="宋体" w:cs="宋体" w:eastAsia="宋体" w:hAnsi="宋体"/>
                  <w:sz w:val="30"/>
                  <w:szCs w:val="30"/>
                  <w:color w:val="auto"/>
                  <w:w w:val="99"/>
                </w:rPr>
                <w:t>北京市旅游条例（节选）</w:t>
              </w:r>
              <w:r>
                <w:rPr>
                  <w:rFonts w:ascii="Times New Roman" w:cs="Times New Roman" w:eastAsia="Times New Roman" w:hAnsi="Times New Roman"/>
                  <w:sz w:val="30"/>
                  <w:szCs w:val="30"/>
                  <w:color w:val="auto"/>
                  <w:w w:val="99"/>
                </w:rPr>
                <w:t>..................................................</w:t>
              </w:r>
            </w:hyperlink>
          </w:p>
        </w:tc>
        <w:tc>
          <w:tcPr>
            <w:tcW w:w="760" w:type="dxa"/>
            <w:vAlign w:val="bottom"/>
          </w:tcPr>
          <w:p>
            <w:pPr>
              <w:jc w:val="right"/>
              <w:spacing w:after="0"/>
              <w:rPr>
                <w:rFonts w:ascii="Calibri" w:cs="Calibri" w:eastAsia="Calibri" w:hAnsi="Calibri"/>
                <w:sz w:val="30"/>
                <w:szCs w:val="30"/>
                <w:color w:val="auto"/>
                <w:w w:val="96"/>
              </w:rPr>
            </w:pPr>
            <w:hyperlink w:anchor="page66">
              <w:r>
                <w:rPr>
                  <w:rFonts w:ascii="Calibri" w:cs="Calibri" w:eastAsia="Calibri" w:hAnsi="Calibri"/>
                  <w:sz w:val="30"/>
                  <w:szCs w:val="30"/>
                  <w:color w:val="auto"/>
                  <w:w w:val="96"/>
                </w:rPr>
                <w:t>- 64 -</w:t>
              </w:r>
            </w:hyperlink>
          </w:p>
        </w:tc>
      </w:tr>
      <w:tr>
        <w:trPr>
          <w:trHeight w:val="559"/>
        </w:trPr>
        <w:tc>
          <w:tcPr>
            <w:tcW w:w="7680" w:type="dxa"/>
            <w:vAlign w:val="bottom"/>
          </w:tcPr>
          <w:p>
            <w:pPr>
              <w:ind w:left="640"/>
              <w:spacing w:after="0" w:line="365" w:lineRule="exact"/>
              <w:rPr>
                <w:rFonts w:ascii="Times New Roman" w:cs="Times New Roman" w:eastAsia="Times New Roman" w:hAnsi="Times New Roman"/>
                <w:sz w:val="30"/>
                <w:szCs w:val="30"/>
                <w:color w:val="auto"/>
                <w:w w:val="99"/>
              </w:rPr>
            </w:pPr>
            <w:hyperlink w:anchor="page67">
              <w:r>
                <w:rPr>
                  <w:rFonts w:ascii="宋体" w:cs="宋体" w:eastAsia="宋体" w:hAnsi="宋体"/>
                  <w:sz w:val="30"/>
                  <w:szCs w:val="30"/>
                  <w:color w:val="auto"/>
                  <w:w w:val="99"/>
                </w:rPr>
                <w:t>北京市审计条例（节选）</w:t>
              </w:r>
              <w:r>
                <w:rPr>
                  <w:rFonts w:ascii="Times New Roman" w:cs="Times New Roman" w:eastAsia="Times New Roman" w:hAnsi="Times New Roman"/>
                  <w:sz w:val="30"/>
                  <w:szCs w:val="30"/>
                  <w:color w:val="auto"/>
                  <w:w w:val="99"/>
                </w:rPr>
                <w:t>..................................................</w:t>
              </w:r>
            </w:hyperlink>
          </w:p>
        </w:tc>
        <w:tc>
          <w:tcPr>
            <w:tcW w:w="760" w:type="dxa"/>
            <w:vAlign w:val="bottom"/>
          </w:tcPr>
          <w:p>
            <w:pPr>
              <w:jc w:val="right"/>
              <w:spacing w:after="0"/>
              <w:rPr>
                <w:rFonts w:ascii="Calibri" w:cs="Calibri" w:eastAsia="Calibri" w:hAnsi="Calibri"/>
                <w:sz w:val="30"/>
                <w:szCs w:val="30"/>
                <w:color w:val="auto"/>
                <w:w w:val="96"/>
              </w:rPr>
            </w:pPr>
            <w:hyperlink w:anchor="page67">
              <w:r>
                <w:rPr>
                  <w:rFonts w:ascii="Calibri" w:cs="Calibri" w:eastAsia="Calibri" w:hAnsi="Calibri"/>
                  <w:sz w:val="30"/>
                  <w:szCs w:val="30"/>
                  <w:color w:val="auto"/>
                  <w:w w:val="96"/>
                </w:rPr>
                <w:t>- 65 -</w:t>
              </w:r>
            </w:hyperlink>
          </w:p>
        </w:tc>
      </w:tr>
      <w:tr>
        <w:trPr>
          <w:trHeight w:val="559"/>
        </w:trPr>
        <w:tc>
          <w:tcPr>
            <w:tcW w:w="7680" w:type="dxa"/>
            <w:vAlign w:val="bottom"/>
          </w:tcPr>
          <w:p>
            <w:pPr>
              <w:ind w:left="640"/>
              <w:spacing w:after="0" w:line="365" w:lineRule="exact"/>
              <w:rPr>
                <w:rFonts w:ascii="Times New Roman" w:cs="Times New Roman" w:eastAsia="Times New Roman" w:hAnsi="Times New Roman"/>
                <w:sz w:val="30"/>
                <w:szCs w:val="30"/>
                <w:color w:val="auto"/>
                <w:w w:val="99"/>
              </w:rPr>
            </w:pPr>
            <w:hyperlink w:anchor="page68">
              <w:r>
                <w:rPr>
                  <w:rFonts w:ascii="宋体" w:cs="宋体" w:eastAsia="宋体" w:hAnsi="宋体"/>
                  <w:sz w:val="30"/>
                  <w:szCs w:val="30"/>
                  <w:color w:val="auto"/>
                  <w:w w:val="99"/>
                </w:rPr>
                <w:t>北京市动物防疫条例（节选）</w:t>
              </w:r>
              <w:r>
                <w:rPr>
                  <w:rFonts w:ascii="Times New Roman" w:cs="Times New Roman" w:eastAsia="Times New Roman" w:hAnsi="Times New Roman"/>
                  <w:sz w:val="30"/>
                  <w:szCs w:val="30"/>
                  <w:color w:val="auto"/>
                  <w:w w:val="99"/>
                </w:rPr>
                <w:t>..........................................</w:t>
              </w:r>
            </w:hyperlink>
          </w:p>
        </w:tc>
        <w:tc>
          <w:tcPr>
            <w:tcW w:w="760" w:type="dxa"/>
            <w:vAlign w:val="bottom"/>
          </w:tcPr>
          <w:p>
            <w:pPr>
              <w:jc w:val="right"/>
              <w:spacing w:after="0"/>
              <w:rPr>
                <w:rFonts w:ascii="Calibri" w:cs="Calibri" w:eastAsia="Calibri" w:hAnsi="Calibri"/>
                <w:sz w:val="30"/>
                <w:szCs w:val="30"/>
                <w:color w:val="auto"/>
                <w:w w:val="96"/>
              </w:rPr>
            </w:pPr>
            <w:hyperlink w:anchor="page68">
              <w:r>
                <w:rPr>
                  <w:rFonts w:ascii="Calibri" w:cs="Calibri" w:eastAsia="Calibri" w:hAnsi="Calibri"/>
                  <w:sz w:val="30"/>
                  <w:szCs w:val="30"/>
                  <w:color w:val="auto"/>
                  <w:w w:val="96"/>
                </w:rPr>
                <w:t>- 66 -</w:t>
              </w:r>
            </w:hyperlink>
          </w:p>
        </w:tc>
      </w:tr>
      <w:tr>
        <w:trPr>
          <w:trHeight w:val="562"/>
        </w:trPr>
        <w:tc>
          <w:tcPr>
            <w:tcW w:w="7680" w:type="dxa"/>
            <w:vAlign w:val="bottom"/>
          </w:tcPr>
          <w:p>
            <w:pPr>
              <w:ind w:left="640"/>
              <w:spacing w:after="0" w:line="365" w:lineRule="exact"/>
              <w:rPr>
                <w:rFonts w:ascii="Times New Roman" w:cs="Times New Roman" w:eastAsia="Times New Roman" w:hAnsi="Times New Roman"/>
                <w:sz w:val="30"/>
                <w:szCs w:val="30"/>
                <w:color w:val="auto"/>
                <w:w w:val="99"/>
              </w:rPr>
            </w:pPr>
            <w:hyperlink w:anchor="page68">
              <w:r>
                <w:rPr>
                  <w:rFonts w:ascii="宋体" w:cs="宋体" w:eastAsia="宋体" w:hAnsi="宋体"/>
                  <w:sz w:val="30"/>
                  <w:szCs w:val="30"/>
                  <w:color w:val="auto"/>
                  <w:w w:val="99"/>
                </w:rPr>
                <w:t>北京市食品安全条例（节选）</w:t>
              </w:r>
              <w:r>
                <w:rPr>
                  <w:rFonts w:ascii="Times New Roman" w:cs="Times New Roman" w:eastAsia="Times New Roman" w:hAnsi="Times New Roman"/>
                  <w:sz w:val="30"/>
                  <w:szCs w:val="30"/>
                  <w:color w:val="auto"/>
                  <w:w w:val="99"/>
                </w:rPr>
                <w:t>..........................................</w:t>
              </w:r>
            </w:hyperlink>
          </w:p>
        </w:tc>
        <w:tc>
          <w:tcPr>
            <w:tcW w:w="760" w:type="dxa"/>
            <w:vAlign w:val="bottom"/>
          </w:tcPr>
          <w:p>
            <w:pPr>
              <w:jc w:val="right"/>
              <w:spacing w:after="0"/>
              <w:rPr>
                <w:rFonts w:ascii="Calibri" w:cs="Calibri" w:eastAsia="Calibri" w:hAnsi="Calibri"/>
                <w:sz w:val="30"/>
                <w:szCs w:val="30"/>
                <w:color w:val="auto"/>
                <w:w w:val="96"/>
              </w:rPr>
            </w:pPr>
            <w:hyperlink w:anchor="page68">
              <w:r>
                <w:rPr>
                  <w:rFonts w:ascii="Calibri" w:cs="Calibri" w:eastAsia="Calibri" w:hAnsi="Calibri"/>
                  <w:sz w:val="30"/>
                  <w:szCs w:val="30"/>
                  <w:color w:val="auto"/>
                  <w:w w:val="96"/>
                </w:rPr>
                <w:t>- 66 -</w:t>
              </w:r>
            </w:hyperlink>
          </w:p>
        </w:tc>
      </w:tr>
      <w:tr>
        <w:trPr>
          <w:trHeight w:val="559"/>
        </w:trPr>
        <w:tc>
          <w:tcPr>
            <w:tcW w:w="7680" w:type="dxa"/>
            <w:vAlign w:val="bottom"/>
          </w:tcPr>
          <w:p>
            <w:pPr>
              <w:ind w:left="640"/>
              <w:spacing w:after="0" w:line="365" w:lineRule="exact"/>
              <w:rPr>
                <w:rFonts w:ascii="Times New Roman" w:cs="Times New Roman" w:eastAsia="Times New Roman" w:hAnsi="Times New Roman"/>
                <w:sz w:val="30"/>
                <w:szCs w:val="30"/>
                <w:color w:val="auto"/>
                <w:w w:val="99"/>
              </w:rPr>
            </w:pPr>
            <w:hyperlink w:anchor="page69">
              <w:r>
                <w:rPr>
                  <w:rFonts w:ascii="宋体" w:cs="宋体" w:eastAsia="宋体" w:hAnsi="宋体"/>
                  <w:sz w:val="30"/>
                  <w:szCs w:val="30"/>
                  <w:color w:val="auto"/>
                  <w:w w:val="99"/>
                </w:rPr>
                <w:t>北京市信息化促进条例（节选）</w:t>
              </w:r>
              <w:r>
                <w:rPr>
                  <w:rFonts w:ascii="Times New Roman" w:cs="Times New Roman" w:eastAsia="Times New Roman" w:hAnsi="Times New Roman"/>
                  <w:sz w:val="30"/>
                  <w:szCs w:val="30"/>
                  <w:color w:val="auto"/>
                  <w:w w:val="99"/>
                </w:rPr>
                <w:t>......................................</w:t>
              </w:r>
            </w:hyperlink>
          </w:p>
        </w:tc>
        <w:tc>
          <w:tcPr>
            <w:tcW w:w="760" w:type="dxa"/>
            <w:vAlign w:val="bottom"/>
          </w:tcPr>
          <w:p>
            <w:pPr>
              <w:jc w:val="right"/>
              <w:spacing w:after="0"/>
              <w:rPr>
                <w:rFonts w:ascii="Calibri" w:cs="Calibri" w:eastAsia="Calibri" w:hAnsi="Calibri"/>
                <w:sz w:val="30"/>
                <w:szCs w:val="30"/>
                <w:color w:val="auto"/>
                <w:w w:val="96"/>
              </w:rPr>
            </w:pPr>
            <w:hyperlink w:anchor="page69">
              <w:r>
                <w:rPr>
                  <w:rFonts w:ascii="Calibri" w:cs="Calibri" w:eastAsia="Calibri" w:hAnsi="Calibri"/>
                  <w:sz w:val="30"/>
                  <w:szCs w:val="30"/>
                  <w:color w:val="auto"/>
                  <w:w w:val="96"/>
                </w:rPr>
                <w:t>- 67 -</w:t>
              </w:r>
            </w:hyperlink>
          </w:p>
        </w:tc>
      </w:tr>
    </w:tbl>
    <w:p>
      <w:pPr>
        <w:sectPr>
          <w:pgSz w:w="11900" w:h="16838" w:orient="portrait"/>
          <w:cols w:equalWidth="0" w:num="1">
            <w:col w:w="9026"/>
          </w:cols>
          <w:pgMar w:left="1440" w:top="1440" w:right="1440" w:bottom="1440" w:gutter="0" w:footer="0" w:header="0"/>
        </w:sectPr>
      </w:pPr>
    </w:p>
    <w:bookmarkStart w:id="2" w:name="page3"/>
    <w:bookmarkEnd w:id="2"/>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ind w:left="2200"/>
        <w:spacing w:after="0" w:line="502" w:lineRule="exact"/>
        <w:rPr>
          <w:sz w:val="20"/>
          <w:szCs w:val="20"/>
          <w:color w:val="auto"/>
        </w:rPr>
      </w:pPr>
      <w:r>
        <w:rPr>
          <w:rFonts w:ascii="宋体" w:cs="宋体" w:eastAsia="宋体" w:hAnsi="宋体"/>
          <w:sz w:val="44"/>
          <w:szCs w:val="44"/>
          <w:color w:val="auto"/>
        </w:rPr>
        <w:t>第一部分 信用建设指导政策</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jc w:val="both"/>
        <w:ind w:left="360" w:right="366" w:firstLine="641"/>
        <w:spacing w:after="0" w:line="519" w:lineRule="exact"/>
        <w:rPr>
          <w:sz w:val="20"/>
          <w:szCs w:val="20"/>
          <w:color w:val="auto"/>
        </w:rPr>
      </w:pPr>
      <w:r>
        <w:rPr>
          <w:rFonts w:ascii="宋体" w:cs="宋体" w:eastAsia="宋体" w:hAnsi="宋体"/>
          <w:sz w:val="32"/>
          <w:szCs w:val="32"/>
          <w:color w:val="auto"/>
        </w:rPr>
        <w:t>党中央、国务院高度重视社会信用体系建设，把信用体系作为当前形势下加强和创新社会治理、优化营商环境的重要抓手。十八大以来，习近平总书记对信用工作作出了一系列指示，在中央财经委第八次会议上，习总书记对信用工作提出了新的明确要求，要求完善社会信用体系，建立健全以信用为基础的新型监管机制。</w:t>
      </w:r>
    </w:p>
    <w:p>
      <w:pPr>
        <w:spacing w:after="0" w:line="214" w:lineRule="exact"/>
        <w:rPr>
          <w:sz w:val="20"/>
          <w:szCs w:val="20"/>
          <w:color w:val="auto"/>
        </w:rPr>
      </w:pPr>
    </w:p>
    <w:p>
      <w:pPr>
        <w:ind w:left="1000"/>
        <w:spacing w:after="0" w:line="394" w:lineRule="exact"/>
        <w:rPr>
          <w:sz w:val="20"/>
          <w:szCs w:val="20"/>
          <w:color w:val="auto"/>
        </w:rPr>
      </w:pPr>
      <w:r>
        <w:rPr>
          <w:rFonts w:ascii="Calibri" w:cs="Calibri" w:eastAsia="Calibri" w:hAnsi="Calibri"/>
          <w:sz w:val="31"/>
          <w:szCs w:val="31"/>
          <w:color w:val="auto"/>
        </w:rPr>
        <w:t xml:space="preserve">2015 </w:t>
      </w:r>
      <w:r>
        <w:rPr>
          <w:rFonts w:ascii="宋体" w:cs="宋体" w:eastAsia="宋体" w:hAnsi="宋体"/>
          <w:sz w:val="31"/>
          <w:szCs w:val="31"/>
          <w:color w:val="auto"/>
        </w:rPr>
        <w:t>年北京市出台《关于加快社会信用体系建设的实施</w:t>
      </w:r>
    </w:p>
    <w:p>
      <w:pPr>
        <w:spacing w:after="0" w:line="200" w:lineRule="exact"/>
        <w:rPr>
          <w:sz w:val="20"/>
          <w:szCs w:val="20"/>
          <w:color w:val="auto"/>
        </w:rPr>
      </w:pPr>
    </w:p>
    <w:p>
      <w:pPr>
        <w:jc w:val="both"/>
        <w:ind w:left="360" w:right="366"/>
        <w:spacing w:after="0" w:line="525" w:lineRule="exact"/>
        <w:rPr>
          <w:sz w:val="20"/>
          <w:szCs w:val="20"/>
          <w:color w:val="auto"/>
        </w:rPr>
      </w:pPr>
      <w:r>
        <w:rPr>
          <w:rFonts w:ascii="宋体" w:cs="宋体" w:eastAsia="宋体" w:hAnsi="宋体"/>
          <w:sz w:val="32"/>
          <w:szCs w:val="32"/>
          <w:color w:val="auto"/>
        </w:rPr>
        <w:t>意见》，已成为加强和创新首都社会治理的重要手段。为加快构建以信用为基础的新型监管机制，</w:t>
      </w:r>
      <w:r>
        <w:rPr>
          <w:rFonts w:ascii="Calibri" w:cs="Calibri" w:eastAsia="Calibri" w:hAnsi="Calibri"/>
          <w:sz w:val="32"/>
          <w:szCs w:val="32"/>
          <w:color w:val="auto"/>
        </w:rPr>
        <w:t xml:space="preserve">2020 </w:t>
      </w:r>
      <w:r>
        <w:rPr>
          <w:rFonts w:ascii="宋体" w:cs="宋体" w:eastAsia="宋体" w:hAnsi="宋体"/>
          <w:sz w:val="32"/>
          <w:szCs w:val="32"/>
          <w:color w:val="auto"/>
        </w:rPr>
        <w:t>年颁布了三年行动计划，明确了信用体系建设的时间表与路线图；同年，《北京市优化营商环境条例》、《北京市进一步优化营商环境更好服务市场主体实施方案》的颁布实施对推行以信用为基础的分级分类监管制度、建立健全市场主体信用修复制度作出了宏观安排。</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ind w:left="4440"/>
        <w:spacing w:after="0" w:line="308" w:lineRule="exact"/>
        <w:rPr>
          <w:sz w:val="20"/>
          <w:szCs w:val="20"/>
          <w:color w:val="auto"/>
        </w:rPr>
      </w:pPr>
      <w:r>
        <w:rPr>
          <w:rFonts w:ascii="宋体" w:cs="宋体" w:eastAsia="宋体" w:hAnsi="宋体"/>
          <w:sz w:val="27"/>
          <w:szCs w:val="27"/>
          <w:color w:val="auto"/>
        </w:rPr>
        <w:t>- 1 -</w:t>
      </w:r>
    </w:p>
    <w:p>
      <w:pPr>
        <w:sectPr>
          <w:pgSz w:w="11900" w:h="16838" w:orient="portrait"/>
          <w:cols w:equalWidth="0" w:num="1">
            <w:col w:w="9026"/>
          </w:cols>
          <w:pgMar w:left="1440" w:top="1440" w:right="1440" w:bottom="500" w:gutter="0" w:footer="0" w:header="0"/>
          <w:type w:val="continuous"/>
        </w:sectPr>
      </w:pPr>
    </w:p>
    <w:bookmarkStart w:id="3" w:name="page4"/>
    <w:bookmarkEnd w:id="3"/>
    <w:p>
      <w:pPr>
        <w:spacing w:after="0" w:line="162" w:lineRule="exact"/>
        <w:rPr>
          <w:sz w:val="20"/>
          <w:szCs w:val="20"/>
          <w:color w:val="auto"/>
        </w:rPr>
      </w:pPr>
    </w:p>
    <w:p>
      <w:pPr>
        <w:ind w:left="2760" w:right="546" w:hanging="1319"/>
        <w:spacing w:after="0" w:line="611" w:lineRule="exact"/>
        <w:rPr>
          <w:sz w:val="20"/>
          <w:szCs w:val="20"/>
          <w:color w:val="auto"/>
        </w:rPr>
      </w:pPr>
      <w:r>
        <w:rPr>
          <w:rFonts w:ascii="宋体" w:cs="宋体" w:eastAsia="宋体" w:hAnsi="宋体"/>
          <w:sz w:val="44"/>
          <w:szCs w:val="44"/>
          <w:color w:val="auto"/>
        </w:rPr>
        <w:t>北京市人民政府关于加快社会信用体系建设的实施意见</w:t>
      </w:r>
    </w:p>
    <w:p>
      <w:pPr>
        <w:spacing w:after="0" w:line="200" w:lineRule="exact"/>
        <w:rPr>
          <w:sz w:val="20"/>
          <w:szCs w:val="20"/>
          <w:color w:val="auto"/>
        </w:rPr>
      </w:pPr>
    </w:p>
    <w:p>
      <w:pPr>
        <w:spacing w:after="0" w:line="282" w:lineRule="exact"/>
        <w:rPr>
          <w:sz w:val="20"/>
          <w:szCs w:val="20"/>
          <w:color w:val="auto"/>
        </w:rPr>
      </w:pPr>
    </w:p>
    <w:p>
      <w:pPr>
        <w:ind w:left="3400"/>
        <w:spacing w:after="0" w:line="366" w:lineRule="exact"/>
        <w:rPr>
          <w:sz w:val="20"/>
          <w:szCs w:val="20"/>
          <w:color w:val="auto"/>
        </w:rPr>
      </w:pPr>
      <w:r>
        <w:rPr>
          <w:rFonts w:ascii="仿宋" w:cs="仿宋" w:eastAsia="仿宋" w:hAnsi="仿宋"/>
          <w:sz w:val="32"/>
          <w:szCs w:val="32"/>
          <w:color w:val="auto"/>
        </w:rPr>
        <w:t>京政发〔2015〕4 号</w:t>
      </w: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各区、县人民政府，市政府各委、办、局，各市属机构：</w:t>
      </w:r>
    </w:p>
    <w:p>
      <w:pPr>
        <w:spacing w:after="0" w:line="242" w:lineRule="exact"/>
        <w:rPr>
          <w:sz w:val="20"/>
          <w:szCs w:val="20"/>
          <w:color w:val="auto"/>
        </w:rPr>
      </w:pPr>
    </w:p>
    <w:p>
      <w:pPr>
        <w:jc w:val="both"/>
        <w:ind w:left="360" w:right="346" w:firstLine="641"/>
        <w:spacing w:after="0" w:line="528" w:lineRule="exact"/>
        <w:rPr>
          <w:sz w:val="20"/>
          <w:szCs w:val="20"/>
          <w:color w:val="auto"/>
        </w:rPr>
      </w:pPr>
      <w:r>
        <w:rPr>
          <w:rFonts w:ascii="宋体" w:cs="宋体" w:eastAsia="宋体" w:hAnsi="宋体"/>
          <w:sz w:val="30"/>
          <w:szCs w:val="30"/>
          <w:color w:val="auto"/>
        </w:rPr>
        <w:t>加快社会信用体系建设是服务首都城市战略定位、建设国际一流和谐宜居之都的重要基础，是促进经济发展方式转变、加强和创新首都社会治理的重要手段，对增强市场主体诚信意识，营造优良信用环境，提升城市竞争力具有重要意义。根据《国务院关于印发社会信用体系建设规划纲要（</w:t>
      </w:r>
      <w:r>
        <w:rPr>
          <w:rFonts w:ascii="Calibri" w:cs="Calibri" w:eastAsia="Calibri" w:hAnsi="Calibri"/>
          <w:sz w:val="30"/>
          <w:szCs w:val="30"/>
          <w:color w:val="auto"/>
        </w:rPr>
        <w:t xml:space="preserve">2014 </w:t>
      </w:r>
      <w:r>
        <w:rPr>
          <w:rFonts w:ascii="Arial" w:cs="Arial" w:eastAsia="Arial" w:hAnsi="Arial"/>
          <w:sz w:val="30"/>
          <w:szCs w:val="30"/>
          <w:color w:val="auto"/>
        </w:rPr>
        <w:t>—</w:t>
      </w:r>
      <w:r>
        <w:rPr>
          <w:rFonts w:ascii="Calibri" w:cs="Calibri" w:eastAsia="Calibri" w:hAnsi="Calibri"/>
          <w:sz w:val="30"/>
          <w:szCs w:val="30"/>
          <w:color w:val="auto"/>
        </w:rPr>
        <w:t>2020</w:t>
      </w:r>
      <w:r>
        <w:rPr>
          <w:rFonts w:ascii="Arial" w:cs="Arial" w:eastAsia="Arial" w:hAnsi="Arial"/>
          <w:sz w:val="30"/>
          <w:szCs w:val="30"/>
          <w:color w:val="auto"/>
        </w:rPr>
        <w:t xml:space="preserve"> </w:t>
      </w:r>
      <w:r>
        <w:rPr>
          <w:rFonts w:ascii="宋体" w:cs="宋体" w:eastAsia="宋体" w:hAnsi="宋体"/>
          <w:sz w:val="30"/>
          <w:szCs w:val="30"/>
          <w:color w:val="auto"/>
        </w:rPr>
        <w:t>年）的通知》（国发〔</w:t>
      </w:r>
      <w:r>
        <w:rPr>
          <w:rFonts w:ascii="Calibri" w:cs="Calibri" w:eastAsia="Calibri" w:hAnsi="Calibri"/>
          <w:sz w:val="30"/>
          <w:szCs w:val="30"/>
          <w:color w:val="auto"/>
        </w:rPr>
        <w:t>2014</w:t>
      </w:r>
      <w:r>
        <w:rPr>
          <w:rFonts w:ascii="宋体" w:cs="宋体" w:eastAsia="宋体" w:hAnsi="宋体"/>
          <w:sz w:val="30"/>
          <w:szCs w:val="30"/>
          <w:color w:val="auto"/>
        </w:rPr>
        <w:t>〕</w:t>
      </w:r>
      <w:r>
        <w:rPr>
          <w:rFonts w:ascii="Calibri" w:cs="Calibri" w:eastAsia="Calibri" w:hAnsi="Calibri"/>
          <w:sz w:val="30"/>
          <w:szCs w:val="30"/>
          <w:color w:val="auto"/>
        </w:rPr>
        <w:t>21</w:t>
      </w:r>
      <w:r>
        <w:rPr>
          <w:rFonts w:ascii="Arial" w:cs="Arial" w:eastAsia="Arial" w:hAnsi="Arial"/>
          <w:sz w:val="30"/>
          <w:szCs w:val="30"/>
          <w:color w:val="auto"/>
        </w:rPr>
        <w:t xml:space="preserve"> </w:t>
      </w:r>
      <w:r>
        <w:rPr>
          <w:rFonts w:ascii="宋体" w:cs="宋体" w:eastAsia="宋体" w:hAnsi="宋体"/>
          <w:sz w:val="30"/>
          <w:szCs w:val="30"/>
          <w:color w:val="auto"/>
        </w:rPr>
        <w:t>号）精神，结合本</w:t>
      </w:r>
    </w:p>
    <w:p>
      <w:pPr>
        <w:spacing w:after="0" w:line="150"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市实际，现提出如下实施意见。</w:t>
      </w:r>
    </w:p>
    <w:p>
      <w:pPr>
        <w:spacing w:after="0" w:line="197"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一、总体要求</w:t>
      </w:r>
    </w:p>
    <w:p>
      <w:pPr>
        <w:spacing w:after="0" w:line="242" w:lineRule="exact"/>
        <w:rPr>
          <w:sz w:val="20"/>
          <w:szCs w:val="20"/>
          <w:color w:val="auto"/>
        </w:rPr>
      </w:pPr>
    </w:p>
    <w:p>
      <w:pPr>
        <w:jc w:val="both"/>
        <w:ind w:left="360" w:right="346" w:firstLine="641"/>
        <w:spacing w:after="0" w:line="536" w:lineRule="exact"/>
        <w:rPr>
          <w:sz w:val="20"/>
          <w:szCs w:val="20"/>
          <w:color w:val="auto"/>
        </w:rPr>
      </w:pPr>
      <w:r>
        <w:rPr>
          <w:rFonts w:ascii="宋体" w:cs="宋体" w:eastAsia="宋体" w:hAnsi="宋体"/>
          <w:sz w:val="31"/>
          <w:szCs w:val="31"/>
          <w:color w:val="auto"/>
        </w:rPr>
        <w:t>（一）指导思想。以邓小平理论、</w:t>
      </w:r>
      <w:r>
        <w:rPr>
          <w:rFonts w:ascii="Arial" w:cs="Arial" w:eastAsia="Arial" w:hAnsi="Arial"/>
          <w:sz w:val="31"/>
          <w:szCs w:val="31"/>
          <w:color w:val="auto"/>
        </w:rPr>
        <w:t>“</w:t>
      </w:r>
      <w:r>
        <w:rPr>
          <w:rFonts w:ascii="宋体" w:cs="宋体" w:eastAsia="宋体" w:hAnsi="宋体"/>
          <w:sz w:val="31"/>
          <w:szCs w:val="31"/>
          <w:color w:val="auto"/>
        </w:rPr>
        <w:t>三个代表</w:t>
      </w:r>
      <w:r>
        <w:rPr>
          <w:rFonts w:ascii="Arial" w:cs="Arial" w:eastAsia="Arial" w:hAnsi="Arial"/>
          <w:sz w:val="31"/>
          <w:szCs w:val="31"/>
          <w:color w:val="auto"/>
        </w:rPr>
        <w:t>”</w:t>
      </w:r>
      <w:r>
        <w:rPr>
          <w:rFonts w:ascii="宋体" w:cs="宋体" w:eastAsia="宋体" w:hAnsi="宋体"/>
          <w:sz w:val="31"/>
          <w:szCs w:val="31"/>
          <w:color w:val="auto"/>
        </w:rPr>
        <w:t>重要思想、科学发展观为指导，深入贯彻落实党的十八大、十八届三中、四中全会精神和习近平总书记系列重要讲话特别是考察北京工作时的重要讲话精神，紧紧围绕首都城市战略定位，以健全信用规章制度和标准体系、形成覆盖全社会的征信系统为基础，以推进政务诚信、商务诚信、社会诚信和司法公信建设为主要内容，以建立健全守信激励和失信联合惩戒机制为重点，以促进信用信息公开、共享、应用和信用服务市场发展为支撑，大力推进诚信文化建设，努力强化诚信意识，在全社会广泛形成守信光荣、失信可耻的浓厚氛围，</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left="4440"/>
        <w:spacing w:after="0" w:line="308" w:lineRule="exact"/>
        <w:rPr>
          <w:sz w:val="20"/>
          <w:szCs w:val="20"/>
          <w:color w:val="auto"/>
        </w:rPr>
      </w:pPr>
      <w:r>
        <w:rPr>
          <w:rFonts w:ascii="宋体" w:cs="宋体" w:eastAsia="宋体" w:hAnsi="宋体"/>
          <w:sz w:val="27"/>
          <w:szCs w:val="27"/>
          <w:color w:val="auto"/>
        </w:rPr>
        <w:t>- 2 -</w:t>
      </w:r>
    </w:p>
    <w:p>
      <w:pPr>
        <w:sectPr>
          <w:pgSz w:w="11900" w:h="16838" w:orient="portrait"/>
          <w:cols w:equalWidth="0" w:num="1">
            <w:col w:w="9026"/>
          </w:cols>
          <w:pgMar w:left="1440" w:top="1440" w:right="1440" w:bottom="500" w:gutter="0" w:footer="0" w:header="0"/>
          <w:type w:val="continuous"/>
        </w:sectPr>
      </w:pPr>
    </w:p>
    <w:bookmarkStart w:id="4" w:name="page5"/>
    <w:bookmarkEnd w:id="4"/>
    <w:p>
      <w:pPr>
        <w:spacing w:after="0" w:line="177" w:lineRule="exact"/>
        <w:rPr>
          <w:sz w:val="20"/>
          <w:szCs w:val="20"/>
          <w:color w:val="auto"/>
        </w:rPr>
      </w:pPr>
    </w:p>
    <w:p>
      <w:pPr>
        <w:ind w:left="360" w:right="366"/>
        <w:spacing w:after="0" w:line="437" w:lineRule="exact"/>
        <w:rPr>
          <w:sz w:val="20"/>
          <w:szCs w:val="20"/>
          <w:color w:val="auto"/>
        </w:rPr>
      </w:pPr>
      <w:r>
        <w:rPr>
          <w:rFonts w:ascii="宋体" w:cs="宋体" w:eastAsia="宋体" w:hAnsi="宋体"/>
          <w:sz w:val="32"/>
          <w:szCs w:val="32"/>
          <w:color w:val="auto"/>
        </w:rPr>
        <w:t>使诚实守信成为全体市民自觉的行为规范，为促进首都社会和谐稳定和经济平稳健康发展奠定基础。</w:t>
      </w:r>
    </w:p>
    <w:p>
      <w:pPr>
        <w:spacing w:after="0" w:line="245" w:lineRule="exact"/>
        <w:rPr>
          <w:sz w:val="20"/>
          <w:szCs w:val="20"/>
          <w:color w:val="auto"/>
        </w:rPr>
      </w:pPr>
    </w:p>
    <w:p>
      <w:pPr>
        <w:ind w:left="360" w:right="206" w:firstLine="641"/>
        <w:spacing w:after="0" w:line="542" w:lineRule="exact"/>
        <w:rPr>
          <w:sz w:val="20"/>
          <w:szCs w:val="20"/>
          <w:color w:val="auto"/>
        </w:rPr>
      </w:pPr>
      <w:r>
        <w:rPr>
          <w:rFonts w:ascii="宋体" w:cs="宋体" w:eastAsia="宋体" w:hAnsi="宋体"/>
          <w:sz w:val="32"/>
          <w:szCs w:val="32"/>
          <w:color w:val="auto"/>
        </w:rPr>
        <w:t>（二）建设目标。按照</w:t>
      </w:r>
      <w:r>
        <w:rPr>
          <w:rFonts w:ascii="Arial" w:cs="Arial" w:eastAsia="Arial" w:hAnsi="Arial"/>
          <w:sz w:val="32"/>
          <w:szCs w:val="32"/>
          <w:color w:val="auto"/>
        </w:rPr>
        <w:t>“</w:t>
      </w:r>
      <w:r>
        <w:rPr>
          <w:rFonts w:ascii="宋体" w:cs="宋体" w:eastAsia="宋体" w:hAnsi="宋体"/>
          <w:sz w:val="32"/>
          <w:szCs w:val="32"/>
          <w:color w:val="auto"/>
        </w:rPr>
        <w:t>政府推动、社会共建，健全法制、规范发展，统筹规划、分步实施，重点突破、强化应用</w:t>
      </w:r>
      <w:r>
        <w:rPr>
          <w:rFonts w:ascii="Arial" w:cs="Arial" w:eastAsia="Arial" w:hAnsi="Arial"/>
          <w:sz w:val="32"/>
          <w:szCs w:val="32"/>
          <w:color w:val="auto"/>
        </w:rPr>
        <w:t>”</w:t>
      </w:r>
      <w:r>
        <w:rPr>
          <w:rFonts w:ascii="宋体" w:cs="宋体" w:eastAsia="宋体" w:hAnsi="宋体"/>
          <w:sz w:val="32"/>
          <w:szCs w:val="32"/>
          <w:color w:val="auto"/>
        </w:rPr>
        <w:t>的原则，分两阶段实施建设。一是全面推进阶段（</w:t>
      </w:r>
      <w:r>
        <w:rPr>
          <w:rFonts w:ascii="Calibri" w:cs="Calibri" w:eastAsia="Calibri" w:hAnsi="Calibri"/>
          <w:sz w:val="32"/>
          <w:szCs w:val="32"/>
          <w:color w:val="auto"/>
        </w:rPr>
        <w:t>2015-2017</w:t>
      </w:r>
      <w:r>
        <w:rPr>
          <w:rFonts w:ascii="宋体" w:cs="宋体" w:eastAsia="宋体" w:hAnsi="宋体"/>
          <w:sz w:val="32"/>
          <w:szCs w:val="32"/>
          <w:color w:val="auto"/>
        </w:rPr>
        <w:t>年）。到</w:t>
      </w:r>
      <w:r>
        <w:rPr>
          <w:rFonts w:ascii="Calibri" w:cs="Calibri" w:eastAsia="Calibri" w:hAnsi="Calibri"/>
          <w:sz w:val="32"/>
          <w:szCs w:val="32"/>
          <w:color w:val="auto"/>
        </w:rPr>
        <w:t xml:space="preserve"> 2017 </w:t>
      </w:r>
      <w:r>
        <w:rPr>
          <w:rFonts w:ascii="宋体" w:cs="宋体" w:eastAsia="宋体" w:hAnsi="宋体"/>
          <w:sz w:val="32"/>
          <w:szCs w:val="32"/>
          <w:color w:val="auto"/>
        </w:rPr>
        <w:t>年，信用规章制度和标准体系初步建立，全市统一的市场主体信用信息平台建设完成，信用服务市场体系初步完善，守信激励和失信联合惩戒机制初步形成，全社会诚信意识普遍增强，基本建立起与首都经济社会发展水平相适应的社会信用体系基础框架与运行机制。二是巩固提升阶段（</w:t>
      </w:r>
      <w:r>
        <w:rPr>
          <w:rFonts w:ascii="Calibri" w:cs="Calibri" w:eastAsia="Calibri" w:hAnsi="Calibri"/>
          <w:sz w:val="32"/>
          <w:szCs w:val="32"/>
          <w:color w:val="auto"/>
        </w:rPr>
        <w:t xml:space="preserve">2018-2020 </w:t>
      </w:r>
      <w:r>
        <w:rPr>
          <w:rFonts w:ascii="宋体" w:cs="宋体" w:eastAsia="宋体" w:hAnsi="宋体"/>
          <w:sz w:val="32"/>
          <w:szCs w:val="32"/>
          <w:color w:val="auto"/>
        </w:rPr>
        <w:t>年）。到</w:t>
      </w:r>
      <w:r>
        <w:rPr>
          <w:rFonts w:ascii="Calibri" w:cs="Calibri" w:eastAsia="Calibri" w:hAnsi="Calibri"/>
          <w:sz w:val="32"/>
          <w:szCs w:val="32"/>
          <w:color w:val="auto"/>
        </w:rPr>
        <w:t xml:space="preserve"> 2020 </w:t>
      </w:r>
      <w:r>
        <w:rPr>
          <w:rFonts w:ascii="宋体" w:cs="宋体" w:eastAsia="宋体" w:hAnsi="宋体"/>
          <w:sz w:val="32"/>
          <w:szCs w:val="32"/>
          <w:color w:val="auto"/>
        </w:rPr>
        <w:t>年，政务诚信、商务诚信、社会诚信、司法公信建设取得显著成效，信用规章制度和标准体系基本健全，信用信息和信用产品得到广泛应用，守信激励和失信联合惩戒机制全面发挥作用，经济社会发展信用环境明显改善，建成国内领先的社会信用体系，成为全国社会信用体系规范运行的示范区。</w:t>
      </w:r>
    </w:p>
    <w:p>
      <w:pPr>
        <w:spacing w:after="0" w:line="20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二、重点任务</w:t>
      </w:r>
    </w:p>
    <w:p>
      <w:pPr>
        <w:spacing w:after="0" w:line="242" w:lineRule="exact"/>
        <w:rPr>
          <w:sz w:val="20"/>
          <w:szCs w:val="20"/>
          <w:color w:val="auto"/>
        </w:rPr>
      </w:pPr>
    </w:p>
    <w:p>
      <w:pPr>
        <w:ind w:left="360" w:right="206" w:firstLine="641"/>
        <w:spacing w:after="0" w:line="525" w:lineRule="exact"/>
        <w:rPr>
          <w:sz w:val="20"/>
          <w:szCs w:val="20"/>
          <w:color w:val="auto"/>
        </w:rPr>
      </w:pPr>
      <w:r>
        <w:rPr>
          <w:rFonts w:ascii="宋体" w:cs="宋体" w:eastAsia="宋体" w:hAnsi="宋体"/>
          <w:sz w:val="31"/>
          <w:szCs w:val="31"/>
          <w:color w:val="auto"/>
        </w:rPr>
        <w:t>（一）加快推进政务诚信建设。一是规范行政履职行为。坚持依法行政，积极推行政府权力清单制度，将依法行政贯穿于行政决策、执行、监督和服务的全过程。健全行政执法体制，细化、量化执法自由裁量权，按照法定权限和程序行使行政权力，规范执法行为，全面推进法治政府建设。坚持重大决策事项公示和听证制度，拓宽公众参与政府决策的渠道，健全权力运行制约和监督体系，确保决策权、执行权、</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ind w:left="4440"/>
        <w:spacing w:after="0" w:line="308" w:lineRule="exact"/>
        <w:rPr>
          <w:sz w:val="20"/>
          <w:szCs w:val="20"/>
          <w:color w:val="auto"/>
        </w:rPr>
      </w:pPr>
      <w:r>
        <w:rPr>
          <w:rFonts w:ascii="宋体" w:cs="宋体" w:eastAsia="宋体" w:hAnsi="宋体"/>
          <w:sz w:val="27"/>
          <w:szCs w:val="27"/>
          <w:color w:val="auto"/>
        </w:rPr>
        <w:t>- 3 -</w:t>
      </w:r>
    </w:p>
    <w:p>
      <w:pPr>
        <w:sectPr>
          <w:pgSz w:w="11900" w:h="16838" w:orient="portrait"/>
          <w:cols w:equalWidth="0" w:num="1">
            <w:col w:w="9026"/>
          </w:cols>
          <w:pgMar w:left="1440" w:top="1440" w:right="1440" w:bottom="500" w:gutter="0" w:footer="0" w:header="0"/>
          <w:type w:val="continuous"/>
        </w:sectPr>
      </w:pPr>
    </w:p>
    <w:bookmarkStart w:id="5" w:name="page6"/>
    <w:bookmarkEnd w:id="5"/>
    <w:p>
      <w:pPr>
        <w:spacing w:after="0" w:line="177" w:lineRule="exact"/>
        <w:rPr>
          <w:sz w:val="20"/>
          <w:szCs w:val="20"/>
          <w:color w:val="auto"/>
        </w:rPr>
      </w:pPr>
    </w:p>
    <w:p>
      <w:pPr>
        <w:ind w:left="360" w:right="206"/>
        <w:spacing w:after="0" w:line="548" w:lineRule="exact"/>
        <w:rPr>
          <w:sz w:val="20"/>
          <w:szCs w:val="20"/>
          <w:color w:val="auto"/>
        </w:rPr>
      </w:pPr>
      <w:r>
        <w:rPr>
          <w:rFonts w:ascii="宋体" w:cs="宋体" w:eastAsia="宋体" w:hAnsi="宋体"/>
          <w:sz w:val="32"/>
          <w:szCs w:val="32"/>
          <w:color w:val="auto"/>
          <w:w w:val="99"/>
        </w:rPr>
        <w:t>监督权既相互制约又相互协调，不断提高政府决策的科学化、制度化和规范化水平。二是完善政府诚信制度。健全政府守信践诺考核机制，坚持把发展规划和政府工作报告关于经济社会发展目标的落实情况，以及依法做出的行政决策、政策承诺、签订合同的履约兑现情况，作为评价政府诚信水平的重要内容。各级政府要自觉接受本级人大的法律监督和政协的民主监督，不断加强和完善群众监督、舆论监督机制，加大监察、审计等部门对行政行为的监督和审计力度。加强对政府履行职责的监督和考核，落实各项监督制度。建立并完善公务员诚信档案，将个人有关事项报告、廉政记录、年度考核结果、相关违法违纪违约行为等信用信息纳入档案，并将诚信记录作为干部考核、任用和奖惩的重要依据。三是强化政府诚信示范引导。进一步加强自身诚信建设，以政府的诚信施政，带动全社会诚信意识的树立和诚信水平的提高。加大政务信息公开力度，坚持以公开为常态、不公开为例外的原则，健全完善政务公开和办事公开制度，推进决策公开、管理公开、服务公开和结果公开，保障人民群众对政务工作的知情权、参与权、表达权和监督权。在行政管理事项中率先使用信用信息或信用产品，培育发展信用服务市场，弘扬诚信价值理念，使诚实守信成为自觉的行为规范。</w:t>
      </w:r>
    </w:p>
    <w:p>
      <w:pPr>
        <w:spacing w:after="0" w:line="248" w:lineRule="exact"/>
        <w:rPr>
          <w:sz w:val="20"/>
          <w:szCs w:val="20"/>
          <w:color w:val="auto"/>
        </w:rPr>
      </w:pPr>
    </w:p>
    <w:p>
      <w:pPr>
        <w:jc w:val="both"/>
        <w:ind w:left="360" w:right="366" w:firstLine="641"/>
        <w:spacing w:after="0" w:line="498" w:lineRule="exact"/>
        <w:rPr>
          <w:sz w:val="20"/>
          <w:szCs w:val="20"/>
          <w:color w:val="auto"/>
        </w:rPr>
      </w:pPr>
      <w:r>
        <w:rPr>
          <w:rFonts w:ascii="宋体" w:cs="宋体" w:eastAsia="宋体" w:hAnsi="宋体"/>
          <w:sz w:val="31"/>
          <w:szCs w:val="31"/>
          <w:color w:val="auto"/>
        </w:rPr>
        <w:t>（二）加快推进商务诚信建设。一是提升企业信用管理水平。鼓励和引导企业制定内部信用管理制度，建立科学的信用管理流程，整合和完善交易信用信息；充分利用信用服务机构提供的信用产品与服务，积极开展客户信用评价和信</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ind w:left="4440"/>
        <w:spacing w:after="0" w:line="308" w:lineRule="exact"/>
        <w:rPr>
          <w:sz w:val="20"/>
          <w:szCs w:val="20"/>
          <w:color w:val="auto"/>
        </w:rPr>
      </w:pPr>
      <w:r>
        <w:rPr>
          <w:rFonts w:ascii="宋体" w:cs="宋体" w:eastAsia="宋体" w:hAnsi="宋体"/>
          <w:sz w:val="27"/>
          <w:szCs w:val="27"/>
          <w:color w:val="auto"/>
        </w:rPr>
        <w:t>- 4 -</w:t>
      </w:r>
    </w:p>
    <w:p>
      <w:pPr>
        <w:sectPr>
          <w:pgSz w:w="11900" w:h="16838" w:orient="portrait"/>
          <w:cols w:equalWidth="0" w:num="1">
            <w:col w:w="9026"/>
          </w:cols>
          <w:pgMar w:left="1440" w:top="1440" w:right="1440" w:bottom="500" w:gutter="0" w:footer="0" w:header="0"/>
          <w:type w:val="continuous"/>
        </w:sectPr>
      </w:pPr>
    </w:p>
    <w:bookmarkStart w:id="6" w:name="page7"/>
    <w:bookmarkEnd w:id="6"/>
    <w:p>
      <w:pPr>
        <w:spacing w:after="0" w:line="177" w:lineRule="exact"/>
        <w:rPr>
          <w:sz w:val="20"/>
          <w:szCs w:val="20"/>
          <w:color w:val="auto"/>
        </w:rPr>
      </w:pPr>
    </w:p>
    <w:p>
      <w:pPr>
        <w:jc w:val="both"/>
        <w:ind w:left="360" w:right="346"/>
        <w:spacing w:after="0" w:line="543" w:lineRule="exact"/>
        <w:rPr>
          <w:sz w:val="20"/>
          <w:szCs w:val="20"/>
          <w:color w:val="auto"/>
        </w:rPr>
      </w:pPr>
      <w:r>
        <w:rPr>
          <w:rFonts w:ascii="宋体" w:cs="宋体" w:eastAsia="宋体" w:hAnsi="宋体"/>
          <w:sz w:val="31"/>
          <w:szCs w:val="31"/>
          <w:color w:val="auto"/>
        </w:rPr>
        <w:t>用管理，促进企业提高信用风险管理能力，扩大信用交易规模。二是提高行业诚信自律水平。鼓励行业协会（商会）建立健全会员准入与退出信用审核制度、信用自律管理制度、信用评价和认证制度，大力推广使用信用信息和信用产品，推动形成行业性约束和惩戒机制，引导企业在生产经营管理活动中守信履约和诚信自律。三是强化市场信用监管。各级监管部门要转变监管理念，创新监管方式，充分运用云计算和大数据等信息化手段，加强事中事后监管。坚持以生产、商贸流通、食品药品、金融、税务、价格、工程建设、政府采购、招标投标、交通运输、电子商务、统计、中介服务、会展、广告等领域为重点，建立健全企业信用承诺制度、信用等级评价制度、信用分类监管制度、</w:t>
      </w:r>
      <w:r>
        <w:rPr>
          <w:rFonts w:ascii="Arial" w:cs="Arial" w:eastAsia="Arial" w:hAnsi="Arial"/>
          <w:sz w:val="31"/>
          <w:szCs w:val="31"/>
          <w:color w:val="auto"/>
        </w:rPr>
        <w:t>“</w:t>
      </w:r>
      <w:r>
        <w:rPr>
          <w:rFonts w:ascii="宋体" w:cs="宋体" w:eastAsia="宋体" w:hAnsi="宋体"/>
          <w:sz w:val="31"/>
          <w:szCs w:val="31"/>
          <w:color w:val="auto"/>
        </w:rPr>
        <w:t>黑名单</w:t>
      </w:r>
      <w:r>
        <w:rPr>
          <w:rFonts w:ascii="Arial" w:cs="Arial" w:eastAsia="Arial" w:hAnsi="Arial"/>
          <w:sz w:val="31"/>
          <w:szCs w:val="31"/>
          <w:color w:val="auto"/>
        </w:rPr>
        <w:t>”</w:t>
      </w:r>
      <w:r>
        <w:rPr>
          <w:rFonts w:ascii="宋体" w:cs="宋体" w:eastAsia="宋体" w:hAnsi="宋体"/>
          <w:sz w:val="31"/>
          <w:szCs w:val="31"/>
          <w:color w:val="auto"/>
        </w:rPr>
        <w:t>公示制度和失信行为有奖举报制度，完善市场准入和退出信用审核机制。加大企业信用监管力度，提高企业失信成本，引导企业诚信经营和公平竞争，维护市场秩序。</w:t>
      </w:r>
    </w:p>
    <w:p>
      <w:pPr>
        <w:spacing w:after="0" w:line="266" w:lineRule="exact"/>
        <w:rPr>
          <w:sz w:val="20"/>
          <w:szCs w:val="20"/>
          <w:color w:val="auto"/>
        </w:rPr>
      </w:pPr>
    </w:p>
    <w:p>
      <w:pPr>
        <w:jc w:val="both"/>
        <w:ind w:left="360" w:right="366" w:firstLine="641"/>
        <w:spacing w:after="0" w:line="532" w:lineRule="exact"/>
        <w:rPr>
          <w:sz w:val="20"/>
          <w:szCs w:val="20"/>
          <w:color w:val="auto"/>
        </w:rPr>
      </w:pPr>
      <w:r>
        <w:rPr>
          <w:rFonts w:ascii="宋体" w:cs="宋体" w:eastAsia="宋体" w:hAnsi="宋体"/>
          <w:sz w:val="31"/>
          <w:szCs w:val="31"/>
          <w:color w:val="auto"/>
        </w:rPr>
        <w:t>（三）加快推进社会诚信建设。一是健全社会诚信管理制度。有关部门和单位要加强对企事业单位、社会组织、从业人员及居民个人的诚信管理，以医疗卫生、食品药品、社会保障、劳动用工、教育、科研、文化、体育、旅游、知识产权、环境保护和能源节约、互联网应用及服务等领域为重点，加大对制假贩假、盗版侵权、诈捐骗捐、价格和服务欺诈、学术不端和舞弊、骗保、黑中介、黑用工、电话和网络欺诈、造谣传谣等行为的惩处力度，保障人民群众的合法权益。二是提高社会组织诚信自律水平。引导社会组织加强诚</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4440"/>
        <w:spacing w:after="0" w:line="308" w:lineRule="exact"/>
        <w:rPr>
          <w:sz w:val="20"/>
          <w:szCs w:val="20"/>
          <w:color w:val="auto"/>
        </w:rPr>
      </w:pPr>
      <w:r>
        <w:rPr>
          <w:rFonts w:ascii="宋体" w:cs="宋体" w:eastAsia="宋体" w:hAnsi="宋体"/>
          <w:sz w:val="27"/>
          <w:szCs w:val="27"/>
          <w:color w:val="auto"/>
        </w:rPr>
        <w:t>- 5 -</w:t>
      </w:r>
    </w:p>
    <w:p>
      <w:pPr>
        <w:sectPr>
          <w:pgSz w:w="11900" w:h="16838" w:orient="portrait"/>
          <w:cols w:equalWidth="0" w:num="1">
            <w:col w:w="9026"/>
          </w:cols>
          <w:pgMar w:left="1440" w:top="1440" w:right="1440" w:bottom="500" w:gutter="0" w:footer="0" w:header="0"/>
          <w:type w:val="continuous"/>
        </w:sectPr>
      </w:pPr>
    </w:p>
    <w:bookmarkStart w:id="7" w:name="page8"/>
    <w:bookmarkEnd w:id="7"/>
    <w:p>
      <w:pPr>
        <w:spacing w:after="0" w:line="177" w:lineRule="exact"/>
        <w:rPr>
          <w:sz w:val="20"/>
          <w:szCs w:val="20"/>
          <w:color w:val="auto"/>
        </w:rPr>
      </w:pPr>
    </w:p>
    <w:p>
      <w:pPr>
        <w:ind w:left="360" w:right="206"/>
        <w:spacing w:after="0" w:line="540" w:lineRule="exact"/>
        <w:rPr>
          <w:sz w:val="20"/>
          <w:szCs w:val="20"/>
          <w:color w:val="auto"/>
        </w:rPr>
      </w:pPr>
      <w:r>
        <w:rPr>
          <w:rFonts w:ascii="宋体" w:cs="宋体" w:eastAsia="宋体" w:hAnsi="宋体"/>
          <w:sz w:val="32"/>
          <w:szCs w:val="32"/>
          <w:color w:val="auto"/>
        </w:rPr>
        <w:t>信自律，把诚信建设内容纳入各类社会组织章程，健全社会组织信息公开制度，规范信息公开行为，提升社会组织运作的公开性和透明度，提高其公信力。支持各类社会组织建立健全会员诚信自律管理制度、准入与退出诚信审核制度、信用评价和认证制度，不断提升诚信自律管理水平。三是加强重点人群职业诚信建设。建立健全企业法定代表人、会计从业人员、统计从业人员、注册税务师、审计师、评估人员、认证和检验检测从业人员、证券期货从业人员、上市公司高管人员、保险经纪从业人员、保险销售从业人员、医务人员、教师、科研人员、专利服务从业人员、项目经理、新闻媒体从业人员、导游等重点人群的诚信档案，在资格资质评定、岗位聘任聘用等工作环节使用信用信息或信用产品，引导全社会恪守职业操守和诚信行为准则。</w:t>
      </w:r>
    </w:p>
    <w:p>
      <w:pPr>
        <w:spacing w:after="0" w:line="261" w:lineRule="exact"/>
        <w:rPr>
          <w:sz w:val="20"/>
          <w:szCs w:val="20"/>
          <w:color w:val="auto"/>
        </w:rPr>
      </w:pPr>
    </w:p>
    <w:p>
      <w:pPr>
        <w:jc w:val="both"/>
        <w:ind w:left="360" w:right="346" w:firstLine="641"/>
        <w:spacing w:after="0" w:line="538" w:lineRule="exact"/>
        <w:rPr>
          <w:sz w:val="20"/>
          <w:szCs w:val="20"/>
          <w:color w:val="auto"/>
        </w:rPr>
      </w:pPr>
      <w:r>
        <w:rPr>
          <w:rFonts w:ascii="宋体" w:cs="宋体" w:eastAsia="宋体" w:hAnsi="宋体"/>
          <w:sz w:val="31"/>
          <w:szCs w:val="31"/>
          <w:color w:val="auto"/>
        </w:rPr>
        <w:t>（四）加快推进司法公信建设。一是推进司法公开。推进审判信息公开、法院生效裁判文书公开、执行案件信息公开，建立针对社会公众、诉讼当事人等不同主体的信息公开体系。深化检务公开，建设覆盖检察机关执法办案各环节的信息化管理系统；依法公开刑事、民事、行政诉讼监督，职务犯罪侦查和预防，国家赔偿等案件信息；完善案件公开听证、公开审查等制度。大力推行公共安全领域执法公开，依法及时公开执法办案的制度规范、程序时限等信息，完善重要和热点案件新闻发布制度，不断提高执法公开的制度化、规范化水平，有效维护当事人的合法权益。深化狱务公开，规范减刑假释暂予监外执行工作程序，维护服刑人员合法权</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ind w:left="4440"/>
        <w:spacing w:after="0" w:line="308" w:lineRule="exact"/>
        <w:rPr>
          <w:sz w:val="20"/>
          <w:szCs w:val="20"/>
          <w:color w:val="auto"/>
        </w:rPr>
      </w:pPr>
      <w:r>
        <w:rPr>
          <w:rFonts w:ascii="宋体" w:cs="宋体" w:eastAsia="宋体" w:hAnsi="宋体"/>
          <w:sz w:val="27"/>
          <w:szCs w:val="27"/>
          <w:color w:val="auto"/>
        </w:rPr>
        <w:t>- 6 -</w:t>
      </w:r>
    </w:p>
    <w:p>
      <w:pPr>
        <w:sectPr>
          <w:pgSz w:w="11900" w:h="16838" w:orient="portrait"/>
          <w:cols w:equalWidth="0" w:num="1">
            <w:col w:w="9026"/>
          </w:cols>
          <w:pgMar w:left="1440" w:top="1440" w:right="1440" w:bottom="500" w:gutter="0" w:footer="0" w:header="0"/>
          <w:type w:val="continuous"/>
        </w:sectPr>
      </w:pPr>
    </w:p>
    <w:bookmarkStart w:id="8" w:name="page9"/>
    <w:bookmarkEnd w:id="8"/>
    <w:p>
      <w:pPr>
        <w:spacing w:after="0" w:line="177" w:lineRule="exact"/>
        <w:rPr>
          <w:sz w:val="20"/>
          <w:szCs w:val="20"/>
          <w:color w:val="auto"/>
        </w:rPr>
      </w:pPr>
    </w:p>
    <w:p>
      <w:pPr>
        <w:ind w:left="360" w:right="206"/>
        <w:spacing w:after="0" w:line="545" w:lineRule="exact"/>
        <w:rPr>
          <w:sz w:val="20"/>
          <w:szCs w:val="20"/>
          <w:color w:val="auto"/>
        </w:rPr>
      </w:pPr>
      <w:r>
        <w:rPr>
          <w:rFonts w:ascii="宋体" w:cs="宋体" w:eastAsia="宋体" w:hAnsi="宋体"/>
          <w:sz w:val="32"/>
          <w:szCs w:val="32"/>
          <w:color w:val="auto"/>
        </w:rPr>
        <w:t>益。规范和创新律师、公证、基层法律服务、法律援助、司法考试、司法鉴定等信息管理和披露方式，更好地保障人民群众的知情权。二是规范司法行为。深化司法体制和工作机制改革，健全侦查权、检察权、审判权、执行权相互配合、相互制约的体制机制。严格管理制度，规范执法程序，全面落实办案质量终身负责制，以及错案防止、纠正和责任倒查问责制，不断提升司法公信力。加大对城市管理、食品药品、安全生产、环境保护、劳动保障等重点领域违法行为的查处力度，增强市场主体的守法意识和诚信意识，引导形成公正诚信的社会风尚。三是加强司法执法人员和从业人员诚信建设。建立全市各级公安、司法行政等单位工作人员信用档案，依法依规将徇私枉法以及不作为等不良记录纳入档案，作为考核评价和奖惩的重要依据。推进律师、公证员、基层法律服务工作者、法律援助人员、司法鉴定人员等司法从业人员诚信规范执业。健全违法违规执业惩戒制度，引导司法从业人员严守道德底线、恪守诚信准则，维护法律尊严，促进社会公平正义。</w:t>
      </w:r>
    </w:p>
    <w:p>
      <w:pPr>
        <w:spacing w:after="0" w:line="263" w:lineRule="exact"/>
        <w:rPr>
          <w:sz w:val="20"/>
          <w:szCs w:val="20"/>
          <w:color w:val="auto"/>
        </w:rPr>
      </w:pPr>
    </w:p>
    <w:p>
      <w:pPr>
        <w:jc w:val="both"/>
        <w:ind w:left="360" w:right="346" w:firstLine="641"/>
        <w:spacing w:after="0" w:line="525" w:lineRule="exact"/>
        <w:rPr>
          <w:sz w:val="20"/>
          <w:szCs w:val="20"/>
          <w:color w:val="auto"/>
        </w:rPr>
      </w:pPr>
      <w:r>
        <w:rPr>
          <w:rFonts w:ascii="宋体" w:cs="宋体" w:eastAsia="宋体" w:hAnsi="宋体"/>
          <w:sz w:val="31"/>
          <w:szCs w:val="31"/>
          <w:color w:val="auto"/>
        </w:rPr>
        <w:t>（五）加快推进信用信息基础设施建设。一是加快行业和领域信用信息系统建设。各行业和领域主管部门依据管理职能，充分利用现有业务管理系统建设信用信息系统，形成信用信息记录、归集和公开、共享、应用的基础条件。进一步整合在行政管理和公共服务中产生的政务信用信息，保障政务信用信息记录及时、准确、完整。健全信用信息安全管理机制，加快推进行业和领域间信用信息系统的互联互通。</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ind w:left="4440"/>
        <w:spacing w:after="0" w:line="308" w:lineRule="exact"/>
        <w:rPr>
          <w:sz w:val="20"/>
          <w:szCs w:val="20"/>
          <w:color w:val="auto"/>
        </w:rPr>
      </w:pPr>
      <w:r>
        <w:rPr>
          <w:rFonts w:ascii="宋体" w:cs="宋体" w:eastAsia="宋体" w:hAnsi="宋体"/>
          <w:sz w:val="27"/>
          <w:szCs w:val="27"/>
          <w:color w:val="auto"/>
        </w:rPr>
        <w:t>- 7 -</w:t>
      </w:r>
    </w:p>
    <w:p>
      <w:pPr>
        <w:sectPr>
          <w:pgSz w:w="11900" w:h="16838" w:orient="portrait"/>
          <w:cols w:equalWidth="0" w:num="1">
            <w:col w:w="9026"/>
          </w:cols>
          <w:pgMar w:left="1440" w:top="1440" w:right="1440" w:bottom="500" w:gutter="0" w:footer="0" w:header="0"/>
          <w:type w:val="continuous"/>
        </w:sectPr>
      </w:pPr>
    </w:p>
    <w:bookmarkStart w:id="9" w:name="page10"/>
    <w:bookmarkEnd w:id="9"/>
    <w:p>
      <w:pPr>
        <w:spacing w:after="0" w:line="177" w:lineRule="exact"/>
        <w:rPr>
          <w:sz w:val="20"/>
          <w:szCs w:val="20"/>
          <w:color w:val="auto"/>
        </w:rPr>
      </w:pPr>
    </w:p>
    <w:p>
      <w:pPr>
        <w:ind w:left="360" w:right="206"/>
        <w:spacing w:after="0" w:line="539" w:lineRule="exact"/>
        <w:rPr>
          <w:sz w:val="20"/>
          <w:szCs w:val="20"/>
          <w:color w:val="auto"/>
        </w:rPr>
      </w:pPr>
      <w:r>
        <w:rPr>
          <w:rFonts w:ascii="宋体" w:cs="宋体" w:eastAsia="宋体" w:hAnsi="宋体"/>
          <w:sz w:val="32"/>
          <w:szCs w:val="32"/>
          <w:color w:val="auto"/>
        </w:rPr>
        <w:t>二是推进社会征信服务系统建设。鼓励有条件的社会组织整合本行业的信用信息，建立行业征信服务系统，提供信用信息服务。鼓励社会征信机构建立面向不同行业领域和服务对象的专业化征信服务系统，强化信用信息安全管理，依法采集、整理、保存、加工信用信息，对外提供征信产品与服务。三是建设全市统一的市场主体信用信息平台。完善公共信用信息目录，建立公共信用信息归集和共享交换机制，搭建全市统一的市场主体信用信息平台，实现全市各行业、各领域信用信息系统的互联互通和信用信息的共享交换，为企业、个人和社会征信机构查询公共信用信息提供便利。加强与社会征信系统的信用信息共享合作机制建设，推进与国家和其他省区市信用信息系统的互联互通。</w:t>
      </w:r>
    </w:p>
    <w:p>
      <w:pPr>
        <w:spacing w:after="0" w:line="259" w:lineRule="exact"/>
        <w:rPr>
          <w:sz w:val="20"/>
          <w:szCs w:val="20"/>
          <w:color w:val="auto"/>
        </w:rPr>
      </w:pPr>
    </w:p>
    <w:p>
      <w:pPr>
        <w:jc w:val="both"/>
        <w:ind w:left="360" w:right="366" w:firstLine="641"/>
        <w:spacing w:after="0" w:line="540" w:lineRule="exact"/>
        <w:rPr>
          <w:sz w:val="20"/>
          <w:szCs w:val="20"/>
          <w:color w:val="auto"/>
        </w:rPr>
      </w:pPr>
      <w:r>
        <w:rPr>
          <w:rFonts w:ascii="宋体" w:cs="宋体" w:eastAsia="宋体" w:hAnsi="宋体"/>
          <w:sz w:val="31"/>
          <w:szCs w:val="31"/>
          <w:color w:val="auto"/>
        </w:rPr>
        <w:t>（六）加快推进信用服务市场建设。一是促进信用服务行业发展。制定促进信用服务业发展的政策措施，培育一批全国领先、具有较强社会公信力的品牌信用服务机构。在政府采购、招标投标、劳动就业、社会保障、食品药品安全监管、科研管理、申请政府资金支持、从业资格认定、技术职称评定等重点领域率先使用信用信息或信用产品，培育信用服务市场。大力推进信用信息公开，鼓励社会征信机构加强对公共信用信息和非公共信用信息的整合，形成多样化的信用服务产品。鼓励信用评级机构参与国际竞争，加强与国际信用评级机构的合作。积极引导信用服务机构加强业务协同和资源整合，充分利用新技术开展产品研发与创新，不断提高行业服务能力和市场竞争力。建立健全信用管理职业培训</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ind w:left="4440"/>
        <w:spacing w:after="0" w:line="308" w:lineRule="exact"/>
        <w:rPr>
          <w:sz w:val="20"/>
          <w:szCs w:val="20"/>
          <w:color w:val="auto"/>
        </w:rPr>
      </w:pPr>
      <w:r>
        <w:rPr>
          <w:rFonts w:ascii="宋体" w:cs="宋体" w:eastAsia="宋体" w:hAnsi="宋体"/>
          <w:sz w:val="27"/>
          <w:szCs w:val="27"/>
          <w:color w:val="auto"/>
        </w:rPr>
        <w:t>- 8 -</w:t>
      </w:r>
    </w:p>
    <w:p>
      <w:pPr>
        <w:sectPr>
          <w:pgSz w:w="11900" w:h="16838" w:orient="portrait"/>
          <w:cols w:equalWidth="0" w:num="1">
            <w:col w:w="9026"/>
          </w:cols>
          <w:pgMar w:left="1440" w:top="1440" w:right="1440" w:bottom="500" w:gutter="0" w:footer="0" w:header="0"/>
          <w:type w:val="continuous"/>
        </w:sectPr>
      </w:pPr>
    </w:p>
    <w:bookmarkStart w:id="10" w:name="page11"/>
    <w:bookmarkEnd w:id="10"/>
    <w:p>
      <w:pPr>
        <w:spacing w:after="0" w:line="177" w:lineRule="exact"/>
        <w:rPr>
          <w:sz w:val="20"/>
          <w:szCs w:val="20"/>
          <w:color w:val="auto"/>
        </w:rPr>
      </w:pPr>
    </w:p>
    <w:p>
      <w:pPr>
        <w:jc w:val="both"/>
        <w:ind w:left="360" w:right="346"/>
        <w:spacing w:after="0" w:line="535" w:lineRule="exact"/>
        <w:rPr>
          <w:sz w:val="20"/>
          <w:szCs w:val="20"/>
          <w:color w:val="auto"/>
        </w:rPr>
      </w:pPr>
      <w:r>
        <w:rPr>
          <w:rFonts w:ascii="宋体" w:cs="宋体" w:eastAsia="宋体" w:hAnsi="宋体"/>
          <w:sz w:val="31"/>
          <w:szCs w:val="31"/>
          <w:color w:val="auto"/>
        </w:rPr>
        <w:t>与专业考评制度，加强信用从业人员的交流与培训，为社会信用体系建设提供人力资源支撑。二是规范信用服务市场秩序。加强对信用服务机构和从业人员的监督管理，建立健全信用服务机构分类监管制度、从业人员职业资格管理制度，加大对贩卖个人隐私和商业秘密，以及非法、超范围经营信用服务业务行为的查处力度，保障信用服务业健康发展。规范查询信用报告、异议申请和投诉的受理及处置流程，形成维权监督机制和社会舆论监督机制。引导各类信用服务机构加强自身信用管理制度建设，不断提高法律意识、权益保护意识和信息安全意识，共同打造信用服务行业的良好形象。</w:t>
      </w:r>
    </w:p>
    <w:p>
      <w:pPr>
        <w:spacing w:after="0" w:line="251" w:lineRule="exact"/>
        <w:rPr>
          <w:sz w:val="20"/>
          <w:szCs w:val="20"/>
          <w:color w:val="auto"/>
        </w:rPr>
      </w:pPr>
    </w:p>
    <w:p>
      <w:pPr>
        <w:ind w:left="360" w:right="206" w:firstLine="641"/>
        <w:spacing w:after="0" w:line="543" w:lineRule="exact"/>
        <w:rPr>
          <w:sz w:val="20"/>
          <w:szCs w:val="20"/>
          <w:color w:val="auto"/>
        </w:rPr>
      </w:pPr>
      <w:r>
        <w:rPr>
          <w:rFonts w:ascii="宋体" w:cs="宋体" w:eastAsia="宋体" w:hAnsi="宋体"/>
          <w:sz w:val="32"/>
          <w:szCs w:val="32"/>
          <w:color w:val="auto"/>
        </w:rPr>
        <w:t>（七）加快推进守信激励和失信联合惩戒机制建设。一是加强对守信主体的奖励与激励。加快建立守信激励机制，加大对守信行为的表彰和宣传力度，在市场监管和公共服务过程中，为守信主体提供优先办理、简化程序等</w:t>
      </w:r>
      <w:r>
        <w:rPr>
          <w:rFonts w:ascii="Arial" w:cs="Arial" w:eastAsia="Arial" w:hAnsi="Arial"/>
          <w:sz w:val="32"/>
          <w:szCs w:val="32"/>
          <w:color w:val="auto"/>
        </w:rPr>
        <w:t>“</w:t>
      </w:r>
      <w:r>
        <w:rPr>
          <w:rFonts w:ascii="宋体" w:cs="宋体" w:eastAsia="宋体" w:hAnsi="宋体"/>
          <w:sz w:val="32"/>
          <w:szCs w:val="32"/>
          <w:color w:val="auto"/>
        </w:rPr>
        <w:t>绿色通道</w:t>
      </w:r>
      <w:r>
        <w:rPr>
          <w:rFonts w:ascii="Arial" w:cs="Arial" w:eastAsia="Arial" w:hAnsi="Arial"/>
          <w:sz w:val="32"/>
          <w:szCs w:val="32"/>
          <w:color w:val="auto"/>
        </w:rPr>
        <w:t>”</w:t>
      </w:r>
      <w:r>
        <w:rPr>
          <w:rFonts w:ascii="宋体" w:cs="宋体" w:eastAsia="宋体" w:hAnsi="宋体"/>
          <w:sz w:val="32"/>
          <w:szCs w:val="32"/>
          <w:color w:val="auto"/>
        </w:rPr>
        <w:t>激励政策。鼓励行业协会（商会）在自律管理中对守信会员给予多种形式的支持与服务。引导企业使用信用产品，对信用状况良好的客户提供优惠和便利服务。二是加强对失信主体的约束与惩戒。在现有行政处罚措施基础上，加快健全失信联合惩戒制度，在市场准入、资质认定、行政审批、政策扶持等方面实施信用分类监管，强化行政监管性约束和惩戒。鼓励行业协会（商会）在自律管理中对失信会员实行警告、行业内通报批评、公开披露和谴责等惩戒措施，形成行业性约束与惩戒。在各领域广泛使用信用信息或信用产品，推动形成市场性约束与惩戒。充分发挥新闻媒体报道、群众</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ind w:left="4440"/>
        <w:spacing w:after="0" w:line="308" w:lineRule="exact"/>
        <w:rPr>
          <w:sz w:val="20"/>
          <w:szCs w:val="20"/>
          <w:color w:val="auto"/>
        </w:rPr>
      </w:pPr>
      <w:r>
        <w:rPr>
          <w:rFonts w:ascii="宋体" w:cs="宋体" w:eastAsia="宋体" w:hAnsi="宋体"/>
          <w:sz w:val="27"/>
          <w:szCs w:val="27"/>
          <w:color w:val="auto"/>
        </w:rPr>
        <w:t>- 9 -</w:t>
      </w:r>
    </w:p>
    <w:p>
      <w:pPr>
        <w:sectPr>
          <w:pgSz w:w="11900" w:h="16838" w:orient="portrait"/>
          <w:cols w:equalWidth="0" w:num="1">
            <w:col w:w="9026"/>
          </w:cols>
          <w:pgMar w:left="1440" w:top="1440" w:right="1440" w:bottom="500" w:gutter="0" w:footer="0" w:header="0"/>
          <w:type w:val="continuous"/>
        </w:sectPr>
      </w:pPr>
    </w:p>
    <w:bookmarkStart w:id="11" w:name="page12"/>
    <w:bookmarkEnd w:id="11"/>
    <w:p>
      <w:pPr>
        <w:spacing w:after="0" w:line="177" w:lineRule="exact"/>
        <w:rPr>
          <w:sz w:val="20"/>
          <w:szCs w:val="20"/>
          <w:color w:val="auto"/>
        </w:rPr>
      </w:pPr>
    </w:p>
    <w:p>
      <w:pPr>
        <w:jc w:val="both"/>
        <w:ind w:left="360" w:right="366"/>
        <w:spacing w:after="0" w:line="530" w:lineRule="exact"/>
        <w:rPr>
          <w:sz w:val="20"/>
          <w:szCs w:val="20"/>
          <w:color w:val="auto"/>
        </w:rPr>
      </w:pPr>
      <w:r>
        <w:rPr>
          <w:rFonts w:ascii="宋体" w:cs="宋体" w:eastAsia="宋体" w:hAnsi="宋体"/>
          <w:sz w:val="32"/>
          <w:szCs w:val="32"/>
          <w:color w:val="auto"/>
        </w:rPr>
        <w:t>评议等社会舆论作用，加大对失信行为的披露、曝光和谴责力度，形成社会威慑力，推动形成社会性约束与惩戒。三是加快推进信用联合奖惩机制建设。依托全市统一的市场主体信用信息平台，推进信用信息跨部门、跨领域、跨地区的共享交换与应用，实现信用奖惩联动。对守信主体提供优惠政策和便利条件，对轻微失信主体给予教育引导，对严重失信主体依法采取公开披露、退出市场等措施，使守信者处处受益、失信者寸步难行。</w:t>
      </w:r>
    </w:p>
    <w:p>
      <w:pPr>
        <w:spacing w:after="0" w:line="244" w:lineRule="exact"/>
        <w:rPr>
          <w:sz w:val="20"/>
          <w:szCs w:val="20"/>
          <w:color w:val="auto"/>
        </w:rPr>
      </w:pPr>
    </w:p>
    <w:p>
      <w:pPr>
        <w:ind w:left="360" w:right="206" w:firstLine="641"/>
        <w:spacing w:after="0" w:line="544" w:lineRule="exact"/>
        <w:rPr>
          <w:sz w:val="20"/>
          <w:szCs w:val="20"/>
          <w:color w:val="auto"/>
        </w:rPr>
      </w:pPr>
      <w:r>
        <w:rPr>
          <w:rFonts w:ascii="宋体" w:cs="宋体" w:eastAsia="宋体" w:hAnsi="宋体"/>
          <w:sz w:val="31"/>
          <w:szCs w:val="31"/>
          <w:color w:val="auto"/>
        </w:rPr>
        <w:t>（八）加快推进诚信文化建设。一是大力弘扬传统道德文化。以建设社会主义核心价值体系、培育和践行社会主义核心价值观为根本，将诚信教育贯穿于公民道德建设和精神文明创建全过程。深入挖掘和阐发中华优秀传统文化的精髓和时代价值，创作弘扬诚信的文艺作品；建好用好道德讲堂、论坛讲座，发挥社区市民学校、公益性文化单位、文化服务中心等作用，通过多种传播手段，大力发掘和宣传诚信人物、诚信企业、诚信群体，树立诚信典型。二是全面开展诚信普及教育。重点加强对公务员、医务人员、教育工作者、新闻工作者、社会工作者以及律师、会计师、税务师、评估人员等公共服务人员的诚信教育，引导其率先垂范。将诚信教育覆盖到基础教育、高等教育、职业技术教育、成人教育各领域，引导广大师生加强道德修养，以诚立身、诚信做人。鼓励和引导企业加强员工职业道德教育，大力培育企业诚信文化，增强员工的法律意识和诚信意识，提高职业素养，引导员工诚信执业。三是深入开展诚信教育实践主题活动。将诚</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ind w:left="4380"/>
        <w:spacing w:after="0" w:line="308" w:lineRule="exact"/>
        <w:rPr>
          <w:sz w:val="20"/>
          <w:szCs w:val="20"/>
          <w:color w:val="auto"/>
        </w:rPr>
      </w:pPr>
      <w:r>
        <w:rPr>
          <w:rFonts w:ascii="宋体" w:cs="宋体" w:eastAsia="宋体" w:hAnsi="宋体"/>
          <w:sz w:val="27"/>
          <w:szCs w:val="27"/>
          <w:color w:val="auto"/>
        </w:rPr>
        <w:t>- 10 -</w:t>
      </w:r>
    </w:p>
    <w:p>
      <w:pPr>
        <w:sectPr>
          <w:pgSz w:w="11900" w:h="16838" w:orient="portrait"/>
          <w:cols w:equalWidth="0" w:num="1">
            <w:col w:w="9026"/>
          </w:cols>
          <w:pgMar w:left="1440" w:top="1440" w:right="1440" w:bottom="500" w:gutter="0" w:footer="0" w:header="0"/>
          <w:type w:val="continuous"/>
        </w:sectPr>
      </w:pPr>
    </w:p>
    <w:bookmarkStart w:id="12" w:name="page13"/>
    <w:bookmarkEnd w:id="12"/>
    <w:p>
      <w:pPr>
        <w:spacing w:after="0" w:line="177" w:lineRule="exact"/>
        <w:rPr>
          <w:sz w:val="20"/>
          <w:szCs w:val="20"/>
          <w:color w:val="auto"/>
        </w:rPr>
      </w:pPr>
    </w:p>
    <w:p>
      <w:pPr>
        <w:ind w:left="360" w:right="186"/>
        <w:spacing w:after="0" w:line="525" w:lineRule="exact"/>
        <w:rPr>
          <w:sz w:val="20"/>
          <w:szCs w:val="20"/>
          <w:color w:val="auto"/>
        </w:rPr>
      </w:pPr>
      <w:r>
        <w:rPr>
          <w:rFonts w:ascii="宋体" w:cs="宋体" w:eastAsia="宋体" w:hAnsi="宋体"/>
          <w:sz w:val="32"/>
          <w:szCs w:val="32"/>
          <w:color w:val="auto"/>
        </w:rPr>
        <w:t>信建设要求作为创建文明区县、文明村镇、文明行业、文明单位等精神文明创建活动的重要标准，引导各行业、各领域开展有特色的诚信教育实践主题活动。持续开展</w:t>
      </w:r>
      <w:r>
        <w:rPr>
          <w:rFonts w:ascii="Arial" w:cs="Arial" w:eastAsia="Arial" w:hAnsi="Arial"/>
          <w:sz w:val="32"/>
          <w:szCs w:val="32"/>
          <w:color w:val="auto"/>
        </w:rPr>
        <w:t>“</w:t>
      </w:r>
      <w:r>
        <w:rPr>
          <w:rFonts w:ascii="宋体" w:cs="宋体" w:eastAsia="宋体" w:hAnsi="宋体"/>
          <w:sz w:val="32"/>
          <w:szCs w:val="32"/>
          <w:color w:val="auto"/>
        </w:rPr>
        <w:t>质量月</w:t>
      </w:r>
      <w:r>
        <w:rPr>
          <w:rFonts w:ascii="Arial" w:cs="Arial" w:eastAsia="Arial" w:hAnsi="Arial"/>
          <w:sz w:val="32"/>
          <w:szCs w:val="32"/>
          <w:color w:val="auto"/>
        </w:rPr>
        <w:t>”</w:t>
      </w:r>
      <w:r>
        <w:rPr>
          <w:rFonts w:ascii="宋体" w:cs="宋体" w:eastAsia="宋体" w:hAnsi="宋体"/>
          <w:sz w:val="32"/>
          <w:szCs w:val="32"/>
          <w:color w:val="auto"/>
        </w:rPr>
        <w:t>、</w:t>
      </w:r>
      <w:r>
        <w:rPr>
          <w:rFonts w:ascii="Arial" w:cs="Arial" w:eastAsia="Arial" w:hAnsi="Arial"/>
          <w:sz w:val="32"/>
          <w:szCs w:val="32"/>
          <w:color w:val="auto"/>
        </w:rPr>
        <w:t>“</w:t>
      </w:r>
      <w:r>
        <w:rPr>
          <w:rFonts w:ascii="宋体" w:cs="宋体" w:eastAsia="宋体" w:hAnsi="宋体"/>
          <w:sz w:val="32"/>
          <w:szCs w:val="32"/>
          <w:color w:val="auto"/>
        </w:rPr>
        <w:t>安全生产月</w:t>
      </w:r>
      <w:r>
        <w:rPr>
          <w:rFonts w:ascii="Arial" w:cs="Arial" w:eastAsia="Arial" w:hAnsi="Arial"/>
          <w:sz w:val="32"/>
          <w:szCs w:val="32"/>
          <w:color w:val="auto"/>
        </w:rPr>
        <w:t>”</w:t>
      </w:r>
      <w:r>
        <w:rPr>
          <w:rFonts w:ascii="宋体" w:cs="宋体" w:eastAsia="宋体" w:hAnsi="宋体"/>
          <w:sz w:val="32"/>
          <w:szCs w:val="32"/>
          <w:color w:val="auto"/>
        </w:rPr>
        <w:t>、</w:t>
      </w:r>
      <w:r>
        <w:rPr>
          <w:rFonts w:ascii="Arial" w:cs="Arial" w:eastAsia="Arial" w:hAnsi="Arial"/>
          <w:sz w:val="32"/>
          <w:szCs w:val="32"/>
          <w:color w:val="auto"/>
        </w:rPr>
        <w:t>“</w:t>
      </w:r>
      <w:r>
        <w:rPr>
          <w:rFonts w:ascii="Calibri" w:cs="Calibri" w:eastAsia="Calibri" w:hAnsi="Calibri"/>
          <w:sz w:val="32"/>
          <w:szCs w:val="32"/>
          <w:color w:val="auto"/>
        </w:rPr>
        <w:t>3</w:t>
      </w:r>
      <w:r>
        <w:rPr>
          <w:rFonts w:ascii="Arial" w:cs="Arial" w:eastAsia="Arial" w:hAnsi="Arial"/>
          <w:sz w:val="32"/>
          <w:szCs w:val="32"/>
          <w:color w:val="auto"/>
        </w:rPr>
        <w:t>·</w:t>
      </w:r>
      <w:r>
        <w:rPr>
          <w:rFonts w:ascii="Calibri" w:cs="Calibri" w:eastAsia="Calibri" w:hAnsi="Calibri"/>
          <w:sz w:val="32"/>
          <w:szCs w:val="32"/>
          <w:color w:val="auto"/>
        </w:rPr>
        <w:t>5</w:t>
      </w:r>
      <w:r>
        <w:rPr>
          <w:rFonts w:ascii="Arial" w:cs="Arial" w:eastAsia="Arial" w:hAnsi="Arial"/>
          <w:sz w:val="32"/>
          <w:szCs w:val="32"/>
          <w:color w:val="auto"/>
        </w:rPr>
        <w:t>”</w:t>
      </w:r>
      <w:r>
        <w:rPr>
          <w:rFonts w:ascii="宋体" w:cs="宋体" w:eastAsia="宋体" w:hAnsi="宋体"/>
          <w:sz w:val="32"/>
          <w:szCs w:val="32"/>
          <w:color w:val="auto"/>
        </w:rPr>
        <w:t>学雷锋活动日、</w:t>
      </w:r>
      <w:r>
        <w:rPr>
          <w:rFonts w:ascii="Arial" w:cs="Arial" w:eastAsia="Arial" w:hAnsi="Arial"/>
          <w:sz w:val="32"/>
          <w:szCs w:val="32"/>
          <w:color w:val="auto"/>
        </w:rPr>
        <w:t>“</w:t>
      </w:r>
      <w:r>
        <w:rPr>
          <w:rFonts w:ascii="Calibri" w:cs="Calibri" w:eastAsia="Calibri" w:hAnsi="Calibri"/>
          <w:sz w:val="32"/>
          <w:szCs w:val="32"/>
          <w:color w:val="auto"/>
        </w:rPr>
        <w:t>3</w:t>
      </w:r>
      <w:r>
        <w:rPr>
          <w:rFonts w:ascii="Arial" w:cs="Arial" w:eastAsia="Arial" w:hAnsi="Arial"/>
          <w:sz w:val="32"/>
          <w:szCs w:val="32"/>
          <w:color w:val="auto"/>
        </w:rPr>
        <w:t>·</w:t>
      </w:r>
      <w:r>
        <w:rPr>
          <w:rFonts w:ascii="Calibri" w:cs="Calibri" w:eastAsia="Calibri" w:hAnsi="Calibri"/>
          <w:sz w:val="32"/>
          <w:szCs w:val="32"/>
          <w:color w:val="auto"/>
        </w:rPr>
        <w:t>15</w:t>
      </w:r>
      <w:r>
        <w:rPr>
          <w:rFonts w:ascii="Arial" w:cs="Arial" w:eastAsia="Arial" w:hAnsi="Arial"/>
          <w:sz w:val="32"/>
          <w:szCs w:val="32"/>
          <w:color w:val="auto"/>
        </w:rPr>
        <w:t>”</w:t>
      </w:r>
      <w:r>
        <w:rPr>
          <w:rFonts w:ascii="宋体" w:cs="宋体" w:eastAsia="宋体" w:hAnsi="宋体"/>
          <w:sz w:val="32"/>
          <w:szCs w:val="32"/>
          <w:color w:val="auto"/>
        </w:rPr>
        <w:t>国际消费者权益保护日、</w:t>
      </w:r>
      <w:r>
        <w:rPr>
          <w:rFonts w:ascii="Arial" w:cs="Arial" w:eastAsia="Arial" w:hAnsi="Arial"/>
          <w:sz w:val="32"/>
          <w:szCs w:val="32"/>
          <w:color w:val="auto"/>
        </w:rPr>
        <w:t>“</w:t>
      </w:r>
      <w:r>
        <w:rPr>
          <w:rFonts w:ascii="Calibri" w:cs="Calibri" w:eastAsia="Calibri" w:hAnsi="Calibri"/>
          <w:sz w:val="32"/>
          <w:szCs w:val="32"/>
          <w:color w:val="auto"/>
        </w:rPr>
        <w:t>12</w:t>
      </w:r>
      <w:r>
        <w:rPr>
          <w:rFonts w:ascii="Arial" w:cs="Arial" w:eastAsia="Arial" w:hAnsi="Arial"/>
          <w:sz w:val="32"/>
          <w:szCs w:val="32"/>
          <w:color w:val="auto"/>
        </w:rPr>
        <w:t>·</w:t>
      </w:r>
      <w:r>
        <w:rPr>
          <w:rFonts w:ascii="Calibri" w:cs="Calibri" w:eastAsia="Calibri" w:hAnsi="Calibri"/>
          <w:sz w:val="32"/>
          <w:szCs w:val="32"/>
          <w:color w:val="auto"/>
        </w:rPr>
        <w:t>4</w:t>
      </w:r>
      <w:r>
        <w:rPr>
          <w:rFonts w:ascii="Arial" w:cs="Arial" w:eastAsia="Arial" w:hAnsi="Arial"/>
          <w:sz w:val="32"/>
          <w:szCs w:val="32"/>
          <w:color w:val="auto"/>
        </w:rPr>
        <w:t>”</w:t>
      </w:r>
      <w:r>
        <w:rPr>
          <w:rFonts w:ascii="宋体" w:cs="宋体" w:eastAsia="宋体" w:hAnsi="宋体"/>
          <w:sz w:val="32"/>
          <w:szCs w:val="32"/>
          <w:color w:val="auto"/>
        </w:rPr>
        <w:t>全国法制宣传日等主题活动和</w:t>
      </w:r>
      <w:r>
        <w:rPr>
          <w:rFonts w:ascii="Arial" w:cs="Arial" w:eastAsia="Arial" w:hAnsi="Arial"/>
          <w:sz w:val="32"/>
          <w:szCs w:val="32"/>
          <w:color w:val="auto"/>
        </w:rPr>
        <w:t>“</w:t>
      </w:r>
      <w:r>
        <w:rPr>
          <w:rFonts w:ascii="宋体" w:cs="宋体" w:eastAsia="宋体" w:hAnsi="宋体"/>
          <w:sz w:val="32"/>
          <w:szCs w:val="32"/>
          <w:color w:val="auto"/>
        </w:rPr>
        <w:t>诚实做人守信做事</w:t>
      </w:r>
      <w:r>
        <w:rPr>
          <w:rFonts w:ascii="Arial" w:cs="Arial" w:eastAsia="Arial" w:hAnsi="Arial"/>
          <w:sz w:val="32"/>
          <w:szCs w:val="32"/>
          <w:color w:val="auto"/>
        </w:rPr>
        <w:t>”</w:t>
      </w:r>
      <w:r>
        <w:rPr>
          <w:rFonts w:ascii="宋体" w:cs="宋体" w:eastAsia="宋体" w:hAnsi="宋体"/>
          <w:sz w:val="32"/>
          <w:szCs w:val="32"/>
          <w:color w:val="auto"/>
        </w:rPr>
        <w:t>、</w:t>
      </w:r>
      <w:r>
        <w:rPr>
          <w:rFonts w:ascii="Arial" w:cs="Arial" w:eastAsia="Arial" w:hAnsi="Arial"/>
          <w:sz w:val="32"/>
          <w:szCs w:val="32"/>
          <w:color w:val="auto"/>
        </w:rPr>
        <w:t>“</w:t>
      </w:r>
      <w:r>
        <w:rPr>
          <w:rFonts w:ascii="宋体" w:cs="宋体" w:eastAsia="宋体" w:hAnsi="宋体"/>
          <w:sz w:val="32"/>
          <w:szCs w:val="32"/>
          <w:color w:val="auto"/>
        </w:rPr>
        <w:t>征信知识宣传周</w:t>
      </w:r>
      <w:r>
        <w:rPr>
          <w:rFonts w:ascii="Arial" w:cs="Arial" w:eastAsia="Arial" w:hAnsi="Arial"/>
          <w:sz w:val="32"/>
          <w:szCs w:val="32"/>
          <w:color w:val="auto"/>
        </w:rPr>
        <w:t>”</w:t>
      </w:r>
      <w:r>
        <w:rPr>
          <w:rFonts w:ascii="宋体" w:cs="宋体" w:eastAsia="宋体" w:hAnsi="宋体"/>
          <w:sz w:val="32"/>
          <w:szCs w:val="32"/>
          <w:color w:val="auto"/>
        </w:rPr>
        <w:t>等宣传教育活动，倡导以信笃行、以诚兴业的传统美德。</w:t>
      </w:r>
    </w:p>
    <w:p>
      <w:pPr>
        <w:spacing w:after="0" w:line="244" w:lineRule="exact"/>
        <w:rPr>
          <w:sz w:val="20"/>
          <w:szCs w:val="20"/>
          <w:color w:val="auto"/>
        </w:rPr>
      </w:pPr>
    </w:p>
    <w:p>
      <w:pPr>
        <w:jc w:val="both"/>
        <w:ind w:left="360" w:right="366" w:firstLine="641"/>
        <w:spacing w:after="0" w:line="546" w:lineRule="exact"/>
        <w:rPr>
          <w:sz w:val="20"/>
          <w:szCs w:val="20"/>
          <w:color w:val="auto"/>
        </w:rPr>
      </w:pPr>
      <w:r>
        <w:rPr>
          <w:rFonts w:ascii="宋体" w:cs="宋体" w:eastAsia="宋体" w:hAnsi="宋体"/>
          <w:sz w:val="31"/>
          <w:szCs w:val="31"/>
          <w:color w:val="auto"/>
        </w:rPr>
        <w:t>（九）加快推进创新示范工程建设。一是全面推进中关村国家自主创新示范区信用体系建设创新示范。继续完善中关村企业信用信息公共服务平台建设，进一步推动园区科技企业信用信息的记录、整合和应用。建立健全园区信用管理与服务制度，在政府公共财政资金、科技型企业融资、企业信用培育双百工程等支持政策中使用信用产品，不断优化园区创新创业生态环境。健全园区信用服务机构的市场准入和退出管理机制，形成科学、合理、有效的信用服务产品质量评价体系。鼓励信用服务机构为园区企业资金融通、市场开拓、风险管理等提供全方位、多样化的信用服务。充分发挥园区社会组织作用，完善自律机制，组织开展多种形式的诚信宣传与培训活动，引导园区企业树立诚信品牌，提升信用价值。二是深入推进小微企业信用体系建设创新示范。鼓励围绕商贸聚集圈、服务业聚集圈、科技创新与文化创意产业聚集圈，深入推进小微企业信用体系建设。建立健全小微企业信用管理制度，在开展行业和市场管理、公共服务、执行产业引导促进政策等工作中使用信用信息和信用产品。推进</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ind w:left="4380"/>
        <w:spacing w:after="0" w:line="308" w:lineRule="exact"/>
        <w:rPr>
          <w:sz w:val="20"/>
          <w:szCs w:val="20"/>
          <w:color w:val="auto"/>
        </w:rPr>
      </w:pPr>
      <w:r>
        <w:rPr>
          <w:rFonts w:ascii="宋体" w:cs="宋体" w:eastAsia="宋体" w:hAnsi="宋体"/>
          <w:sz w:val="27"/>
          <w:szCs w:val="27"/>
          <w:color w:val="auto"/>
        </w:rPr>
        <w:t>- 11 -</w:t>
      </w:r>
    </w:p>
    <w:p>
      <w:pPr>
        <w:sectPr>
          <w:pgSz w:w="11900" w:h="16838" w:orient="portrait"/>
          <w:cols w:equalWidth="0" w:num="1">
            <w:col w:w="9026"/>
          </w:cols>
          <w:pgMar w:left="1440" w:top="1440" w:right="1440" w:bottom="500" w:gutter="0" w:footer="0" w:header="0"/>
          <w:type w:val="continuous"/>
        </w:sectPr>
      </w:pPr>
    </w:p>
    <w:bookmarkStart w:id="13" w:name="page14"/>
    <w:bookmarkEnd w:id="13"/>
    <w:p>
      <w:pPr>
        <w:spacing w:after="0" w:line="177" w:lineRule="exact"/>
        <w:rPr>
          <w:sz w:val="20"/>
          <w:szCs w:val="20"/>
          <w:color w:val="auto"/>
        </w:rPr>
      </w:pPr>
    </w:p>
    <w:p>
      <w:pPr>
        <w:ind w:left="360" w:right="206"/>
        <w:spacing w:after="0" w:line="546" w:lineRule="exact"/>
        <w:rPr>
          <w:sz w:val="20"/>
          <w:szCs w:val="20"/>
          <w:color w:val="auto"/>
        </w:rPr>
      </w:pPr>
      <w:r>
        <w:rPr>
          <w:rFonts w:ascii="宋体" w:cs="宋体" w:eastAsia="宋体" w:hAnsi="宋体"/>
          <w:sz w:val="32"/>
          <w:szCs w:val="32"/>
          <w:color w:val="auto"/>
        </w:rPr>
        <w:t>北京市中小企业公共服务平台与全市统一的市场主体信用信息平台对接，实现互联互通。加强小微企业信用数据库建设，推动各类信用服务机构积极为小微企业营销推广、市场交易、风险管理、资金融通等提供信用服务，促进小微企业健康发展。三是全面推进农村信用体系建设创新示范。充分发挥农村基层组织作用，进一步整合信用信息，形成高效规范的信用信息采集、更新、管理和开放应用机制。鼓励信用服务机构为扩大小额信贷、保险、投资等普惠金融服务覆盖面提供专业化的信用产品，切实使农户、农村小微企业以良好的信用记录在生产生活中得到实惠、受到保障、增收致富。建立健全信用奖惩制度，引导农户、农村企业诚信经营，大力推动农村绿色经济、循环经济发展。四是大力推进京津冀区域信用体系建设合作创新示范。建立和完善京津冀区域信用合作工作机制，在信用制度标准、信用信息共享、信用服务市场、联动奖惩机制等方面开展创新示范。建立相对统一的信用规章制度和标准体系，实现地区公共信用信息的共享交换，形成跨地区行业监管联动机制，促进信用服务市场共同发展。积极开展诚信宣传教育、信用专业人才培养等方面的交流与协作。</w:t>
      </w:r>
    </w:p>
    <w:p>
      <w:pPr>
        <w:spacing w:after="0" w:line="217"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三、保障措施</w:t>
      </w:r>
    </w:p>
    <w:p>
      <w:pPr>
        <w:spacing w:after="0" w:line="242" w:lineRule="exact"/>
        <w:rPr>
          <w:sz w:val="20"/>
          <w:szCs w:val="20"/>
          <w:color w:val="auto"/>
        </w:rPr>
      </w:pPr>
    </w:p>
    <w:p>
      <w:pPr>
        <w:jc w:val="both"/>
        <w:ind w:left="360" w:right="366" w:firstLine="641"/>
        <w:spacing w:after="0" w:line="498" w:lineRule="exact"/>
        <w:rPr>
          <w:sz w:val="20"/>
          <w:szCs w:val="20"/>
          <w:color w:val="auto"/>
        </w:rPr>
      </w:pPr>
      <w:r>
        <w:rPr>
          <w:rFonts w:ascii="宋体" w:cs="宋体" w:eastAsia="宋体" w:hAnsi="宋体"/>
          <w:sz w:val="31"/>
          <w:szCs w:val="31"/>
          <w:color w:val="auto"/>
        </w:rPr>
        <w:t>（一）加强组织领导。继续完善市社会信用体系建设联席会议制度，充分发挥其统筹协调作用，加强对全市社会信用体系建设工作的指导、督促和检查。各区县政府、各部门要统一思想，将社会信用体系建设纳入重要工作日程，建立</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ind w:left="4380"/>
        <w:spacing w:after="0" w:line="308" w:lineRule="exact"/>
        <w:rPr>
          <w:sz w:val="20"/>
          <w:szCs w:val="20"/>
          <w:color w:val="auto"/>
        </w:rPr>
      </w:pPr>
      <w:r>
        <w:rPr>
          <w:rFonts w:ascii="宋体" w:cs="宋体" w:eastAsia="宋体" w:hAnsi="宋体"/>
          <w:sz w:val="27"/>
          <w:szCs w:val="27"/>
          <w:color w:val="auto"/>
        </w:rPr>
        <w:t>- 12 -</w:t>
      </w:r>
    </w:p>
    <w:p>
      <w:pPr>
        <w:sectPr>
          <w:pgSz w:w="11900" w:h="16838" w:orient="portrait"/>
          <w:cols w:equalWidth="0" w:num="1">
            <w:col w:w="9026"/>
          </w:cols>
          <w:pgMar w:left="1440" w:top="1440" w:right="1440" w:bottom="500" w:gutter="0" w:footer="0" w:header="0"/>
          <w:type w:val="continuous"/>
        </w:sectPr>
      </w:pPr>
    </w:p>
    <w:bookmarkStart w:id="14" w:name="page15"/>
    <w:bookmarkEnd w:id="14"/>
    <w:p>
      <w:pPr>
        <w:spacing w:after="0" w:line="177" w:lineRule="exact"/>
        <w:rPr>
          <w:sz w:val="20"/>
          <w:szCs w:val="20"/>
          <w:color w:val="auto"/>
        </w:rPr>
      </w:pPr>
    </w:p>
    <w:p>
      <w:pPr>
        <w:jc w:val="both"/>
        <w:ind w:left="360" w:right="366"/>
        <w:spacing w:after="0" w:line="478" w:lineRule="exact"/>
        <w:rPr>
          <w:sz w:val="20"/>
          <w:szCs w:val="20"/>
          <w:color w:val="auto"/>
        </w:rPr>
      </w:pPr>
      <w:r>
        <w:rPr>
          <w:rFonts w:ascii="宋体" w:cs="宋体" w:eastAsia="宋体" w:hAnsi="宋体"/>
          <w:sz w:val="32"/>
          <w:szCs w:val="32"/>
          <w:color w:val="auto"/>
        </w:rPr>
        <w:t>协调机制，明确职责，按照本实施意见提出的总体要求和社会信用体系建设的需要，制定具体方案，狠抓落实，确保各项工作积极推进。</w:t>
      </w:r>
    </w:p>
    <w:p>
      <w:pPr>
        <w:spacing w:after="0" w:line="247" w:lineRule="exact"/>
        <w:rPr>
          <w:sz w:val="20"/>
          <w:szCs w:val="20"/>
          <w:color w:val="auto"/>
        </w:rPr>
      </w:pPr>
    </w:p>
    <w:p>
      <w:pPr>
        <w:jc w:val="both"/>
        <w:ind w:left="360" w:right="206" w:firstLine="641"/>
        <w:spacing w:after="0" w:line="525" w:lineRule="exact"/>
        <w:rPr>
          <w:sz w:val="20"/>
          <w:szCs w:val="20"/>
          <w:color w:val="auto"/>
        </w:rPr>
      </w:pPr>
      <w:r>
        <w:rPr>
          <w:rFonts w:ascii="宋体" w:cs="宋体" w:eastAsia="宋体" w:hAnsi="宋体"/>
          <w:sz w:val="32"/>
          <w:szCs w:val="32"/>
          <w:color w:val="auto"/>
        </w:rPr>
        <w:t>（二）完善制度标准。市社会信用体系建设联席会议办公室要根据实际需要，组织制定公共信用信息管理、促进信用服务市场规范发展、守信激励和失信联合惩戒机制等相关制度，落实全国统一的自然人、法人和其他组织的社会信用代码制度，加快编制信用信息目录等地方标准与技术规范，明确信用信息记录主体的责任，保证信用信息的客观、真实、准确和及时更新。</w:t>
      </w:r>
    </w:p>
    <w:p>
      <w:pPr>
        <w:spacing w:after="0" w:line="246" w:lineRule="exact"/>
        <w:rPr>
          <w:sz w:val="20"/>
          <w:szCs w:val="20"/>
          <w:color w:val="auto"/>
        </w:rPr>
      </w:pPr>
    </w:p>
    <w:p>
      <w:pPr>
        <w:jc w:val="both"/>
        <w:ind w:left="360" w:right="366" w:firstLine="641"/>
        <w:spacing w:after="0" w:line="519" w:lineRule="exact"/>
        <w:rPr>
          <w:sz w:val="20"/>
          <w:szCs w:val="20"/>
          <w:color w:val="auto"/>
        </w:rPr>
      </w:pPr>
      <w:r>
        <w:rPr>
          <w:rFonts w:ascii="宋体" w:cs="宋体" w:eastAsia="宋体" w:hAnsi="宋体"/>
          <w:sz w:val="32"/>
          <w:szCs w:val="32"/>
          <w:color w:val="auto"/>
        </w:rPr>
        <w:t>（三）加强资金保障。各区县政府、各部门要根据社会信用体系建设的需要，完善资金投入保障机制，将应由政府负担的经费纳入财政预算予以保障，重点加大对信用信息基础设施、信用产品研发应用、重点领域创新示范工程等方面的资金支持力度，鼓励在社会信用体系建设创新示范领域先行先试。</w:t>
      </w:r>
    </w:p>
    <w:p>
      <w:pPr>
        <w:spacing w:after="0" w:line="248" w:lineRule="exact"/>
        <w:rPr>
          <w:sz w:val="20"/>
          <w:szCs w:val="20"/>
          <w:color w:val="auto"/>
        </w:rPr>
      </w:pPr>
    </w:p>
    <w:p>
      <w:pPr>
        <w:jc w:val="both"/>
        <w:ind w:left="360" w:right="366" w:firstLine="641"/>
        <w:spacing w:after="0" w:line="512" w:lineRule="exact"/>
        <w:rPr>
          <w:sz w:val="20"/>
          <w:szCs w:val="20"/>
          <w:color w:val="auto"/>
        </w:rPr>
      </w:pPr>
      <w:r>
        <w:rPr>
          <w:rFonts w:ascii="宋体" w:cs="宋体" w:eastAsia="宋体" w:hAnsi="宋体"/>
          <w:sz w:val="32"/>
          <w:szCs w:val="32"/>
          <w:color w:val="auto"/>
        </w:rPr>
        <w:t>（四）强化督查考核。市社会信用体系建设联席会议办公室要建立健全信用工作考核评估机制，强化目标责任，加强督促检查，定期对联席会议成员单位进行考核评估，不断总结经验，及时发现问题，提出改进措施，确保各项任务有序推进和有效落实。</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p>
      <w:pPr>
        <w:ind w:left="4380"/>
        <w:spacing w:after="0" w:line="308" w:lineRule="exact"/>
        <w:rPr>
          <w:sz w:val="20"/>
          <w:szCs w:val="20"/>
          <w:color w:val="auto"/>
        </w:rPr>
      </w:pPr>
      <w:r>
        <w:rPr>
          <w:rFonts w:ascii="宋体" w:cs="宋体" w:eastAsia="宋体" w:hAnsi="宋体"/>
          <w:sz w:val="27"/>
          <w:szCs w:val="27"/>
          <w:color w:val="auto"/>
        </w:rPr>
        <w:t>- 13 -</w:t>
      </w:r>
    </w:p>
    <w:p>
      <w:pPr>
        <w:sectPr>
          <w:pgSz w:w="11900" w:h="16838" w:orient="portrait"/>
          <w:cols w:equalWidth="0" w:num="1">
            <w:col w:w="9026"/>
          </w:cols>
          <w:pgMar w:left="1440" w:top="1440" w:right="1440" w:bottom="500" w:gutter="0" w:footer="0" w:header="0"/>
          <w:type w:val="continuous"/>
        </w:sectPr>
      </w:pPr>
    </w:p>
    <w:bookmarkStart w:id="15" w:name="page16"/>
    <w:bookmarkEnd w:id="15"/>
    <w:p>
      <w:pPr>
        <w:spacing w:after="0" w:line="162" w:lineRule="exact"/>
        <w:rPr>
          <w:sz w:val="20"/>
          <w:szCs w:val="20"/>
          <w:color w:val="auto"/>
        </w:rPr>
      </w:pPr>
    </w:p>
    <w:p>
      <w:pPr>
        <w:jc w:val="center"/>
        <w:ind w:left="360" w:right="366"/>
        <w:spacing w:after="0" w:line="654" w:lineRule="exact"/>
        <w:rPr>
          <w:sz w:val="20"/>
          <w:szCs w:val="20"/>
          <w:color w:val="auto"/>
        </w:rPr>
      </w:pPr>
      <w:r>
        <w:rPr>
          <w:rFonts w:ascii="宋体" w:cs="宋体" w:eastAsia="宋体" w:hAnsi="宋体"/>
          <w:sz w:val="44"/>
          <w:szCs w:val="44"/>
          <w:color w:val="auto"/>
        </w:rPr>
        <w:t>北京市人民政府办公厅印发《关于加快推进北京市社会信用体系建设构建以信用为基础的新型监管机制三年行动计划（</w:t>
      </w:r>
      <w:r>
        <w:rPr>
          <w:rFonts w:ascii="Arial" w:cs="Arial" w:eastAsia="Arial" w:hAnsi="Arial"/>
          <w:sz w:val="44"/>
          <w:szCs w:val="44"/>
          <w:color w:val="auto"/>
        </w:rPr>
        <w:t xml:space="preserve">2020-2022 </w:t>
      </w:r>
      <w:r>
        <w:rPr>
          <w:rFonts w:ascii="宋体" w:cs="宋体" w:eastAsia="宋体" w:hAnsi="宋体"/>
          <w:sz w:val="44"/>
          <w:szCs w:val="44"/>
          <w:color w:val="auto"/>
        </w:rPr>
        <w:t>年）》的通知</w:t>
      </w:r>
    </w:p>
    <w:p>
      <w:pPr>
        <w:spacing w:after="0" w:line="200" w:lineRule="exact"/>
        <w:rPr>
          <w:sz w:val="20"/>
          <w:szCs w:val="20"/>
          <w:color w:val="auto"/>
        </w:rPr>
      </w:pPr>
    </w:p>
    <w:p>
      <w:pPr>
        <w:spacing w:after="0" w:line="260" w:lineRule="exact"/>
        <w:rPr>
          <w:sz w:val="20"/>
          <w:szCs w:val="20"/>
          <w:color w:val="auto"/>
        </w:rPr>
      </w:pPr>
    </w:p>
    <w:p>
      <w:pPr>
        <w:ind w:left="3160"/>
        <w:spacing w:after="0" w:line="388" w:lineRule="exact"/>
        <w:rPr>
          <w:sz w:val="20"/>
          <w:szCs w:val="20"/>
          <w:color w:val="auto"/>
        </w:rPr>
      </w:pPr>
      <w:r>
        <w:rPr>
          <w:rFonts w:ascii="宋体" w:cs="宋体" w:eastAsia="宋体" w:hAnsi="宋体"/>
          <w:sz w:val="32"/>
          <w:szCs w:val="32"/>
          <w:color w:val="auto"/>
        </w:rPr>
        <w:t>京政办发〔</w:t>
      </w:r>
      <w:r>
        <w:rPr>
          <w:rFonts w:ascii="Arial" w:cs="Arial" w:eastAsia="Arial" w:hAnsi="Arial"/>
          <w:sz w:val="32"/>
          <w:szCs w:val="32"/>
          <w:color w:val="auto"/>
        </w:rPr>
        <w:t>2020</w:t>
      </w:r>
      <w:r>
        <w:rPr>
          <w:rFonts w:ascii="宋体" w:cs="宋体" w:eastAsia="宋体" w:hAnsi="宋体"/>
          <w:sz w:val="32"/>
          <w:szCs w:val="32"/>
          <w:color w:val="auto"/>
        </w:rPr>
        <w:t>〕</w:t>
      </w:r>
      <w:r>
        <w:rPr>
          <w:rFonts w:ascii="Arial" w:cs="Arial" w:eastAsia="Arial" w:hAnsi="Arial"/>
          <w:sz w:val="32"/>
          <w:szCs w:val="32"/>
          <w:color w:val="auto"/>
        </w:rPr>
        <w:t xml:space="preserve">27 </w:t>
      </w:r>
      <w:r>
        <w:rPr>
          <w:rFonts w:ascii="宋体" w:cs="宋体" w:eastAsia="宋体" w:hAnsi="宋体"/>
          <w:sz w:val="32"/>
          <w:szCs w:val="32"/>
          <w:color w:val="auto"/>
        </w:rPr>
        <w:t>号</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both"/>
        <w:ind w:left="360" w:right="366" w:firstLine="641"/>
        <w:spacing w:after="0" w:line="529" w:lineRule="exact"/>
        <w:rPr>
          <w:sz w:val="20"/>
          <w:szCs w:val="20"/>
          <w:color w:val="auto"/>
        </w:rPr>
      </w:pPr>
      <w:r>
        <w:rPr>
          <w:rFonts w:ascii="宋体" w:cs="宋体" w:eastAsia="宋体" w:hAnsi="宋体"/>
          <w:sz w:val="31"/>
          <w:szCs w:val="31"/>
          <w:color w:val="auto"/>
        </w:rPr>
        <w:t>为进一步改革优化营商环境，加强本市社会信用体系建设，推动首都治理体系和治理能力现代化，根据《国务院关于加强和规范事中事后监管的指导意见》（国发〔</w:t>
      </w:r>
      <w:r>
        <w:rPr>
          <w:rFonts w:ascii="Arial" w:cs="Arial" w:eastAsia="Arial" w:hAnsi="Arial"/>
          <w:sz w:val="31"/>
          <w:szCs w:val="31"/>
          <w:color w:val="auto"/>
        </w:rPr>
        <w:t>2019</w:t>
      </w:r>
      <w:r>
        <w:rPr>
          <w:rFonts w:ascii="宋体" w:cs="宋体" w:eastAsia="宋体" w:hAnsi="宋体"/>
          <w:sz w:val="31"/>
          <w:szCs w:val="31"/>
          <w:color w:val="auto"/>
        </w:rPr>
        <w:t>〕</w:t>
      </w:r>
      <w:r>
        <w:rPr>
          <w:rFonts w:ascii="Arial" w:cs="Arial" w:eastAsia="Arial" w:hAnsi="Arial"/>
          <w:sz w:val="31"/>
          <w:szCs w:val="31"/>
          <w:color w:val="auto"/>
        </w:rPr>
        <w:t>18</w:t>
      </w:r>
      <w:r>
        <w:rPr>
          <w:rFonts w:ascii="宋体" w:cs="宋体" w:eastAsia="宋体" w:hAnsi="宋体"/>
          <w:sz w:val="31"/>
          <w:szCs w:val="31"/>
          <w:color w:val="auto"/>
        </w:rPr>
        <w:t>号）、《国务院办公厅关于进一步完善失信约束制度构建诚信建设长效机制的指导意见》（国办发〔</w:t>
      </w:r>
      <w:r>
        <w:rPr>
          <w:rFonts w:ascii="Calibri" w:cs="Calibri" w:eastAsia="Calibri" w:hAnsi="Calibri"/>
          <w:sz w:val="31"/>
          <w:szCs w:val="31"/>
          <w:color w:val="auto"/>
        </w:rPr>
        <w:t>2020</w:t>
      </w:r>
      <w:r>
        <w:rPr>
          <w:rFonts w:ascii="宋体" w:cs="宋体" w:eastAsia="宋体" w:hAnsi="宋体"/>
          <w:sz w:val="31"/>
          <w:szCs w:val="31"/>
          <w:color w:val="auto"/>
        </w:rPr>
        <w:t>〕</w:t>
      </w:r>
      <w:r>
        <w:rPr>
          <w:rFonts w:ascii="Calibri" w:cs="Calibri" w:eastAsia="Calibri" w:hAnsi="Calibri"/>
          <w:sz w:val="31"/>
          <w:szCs w:val="31"/>
          <w:color w:val="auto"/>
        </w:rPr>
        <w:t xml:space="preserve">49 </w:t>
      </w:r>
      <w:r>
        <w:rPr>
          <w:rFonts w:ascii="宋体" w:cs="宋体" w:eastAsia="宋体" w:hAnsi="宋体"/>
          <w:sz w:val="31"/>
          <w:szCs w:val="31"/>
          <w:color w:val="auto"/>
        </w:rPr>
        <w:t>号）、《国务院办公厅关于加快推进社会信用体系建设构建以信用为基础的新型监管机制的指导意见》（国办发〔</w:t>
      </w:r>
      <w:r>
        <w:rPr>
          <w:rFonts w:ascii="Calibri" w:cs="Calibri" w:eastAsia="Calibri" w:hAnsi="Calibri"/>
          <w:sz w:val="31"/>
          <w:szCs w:val="31"/>
          <w:color w:val="auto"/>
        </w:rPr>
        <w:t>2019</w:t>
      </w:r>
      <w:r>
        <w:rPr>
          <w:rFonts w:ascii="宋体" w:cs="宋体" w:eastAsia="宋体" w:hAnsi="宋体"/>
          <w:sz w:val="31"/>
          <w:szCs w:val="31"/>
          <w:color w:val="auto"/>
        </w:rPr>
        <w:t>〕</w:t>
      </w:r>
      <w:r>
        <w:rPr>
          <w:rFonts w:ascii="Calibri" w:cs="Calibri" w:eastAsia="Calibri" w:hAnsi="Calibri"/>
          <w:sz w:val="31"/>
          <w:szCs w:val="31"/>
          <w:color w:val="auto"/>
        </w:rPr>
        <w:t>35</w:t>
      </w:r>
      <w:r>
        <w:rPr>
          <w:rFonts w:ascii="宋体" w:cs="宋体" w:eastAsia="宋体" w:hAnsi="宋体"/>
          <w:sz w:val="31"/>
          <w:szCs w:val="31"/>
          <w:color w:val="auto"/>
        </w:rPr>
        <w:t>号）精神，结合实际，制定本行动计划。</w:t>
      </w:r>
    </w:p>
    <w:p>
      <w:pPr>
        <w:spacing w:after="0" w:line="201"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一、总体要求</w:t>
      </w:r>
    </w:p>
    <w:p>
      <w:pPr>
        <w:spacing w:after="0" w:line="242" w:lineRule="exact"/>
        <w:rPr>
          <w:sz w:val="20"/>
          <w:szCs w:val="20"/>
          <w:color w:val="auto"/>
        </w:rPr>
      </w:pPr>
    </w:p>
    <w:p>
      <w:pPr>
        <w:jc w:val="both"/>
        <w:ind w:left="360" w:right="346" w:firstLine="641"/>
        <w:spacing w:after="0" w:line="530" w:lineRule="exact"/>
        <w:rPr>
          <w:sz w:val="20"/>
          <w:szCs w:val="20"/>
          <w:color w:val="auto"/>
        </w:rPr>
      </w:pPr>
      <w:r>
        <w:rPr>
          <w:rFonts w:ascii="宋体" w:cs="宋体" w:eastAsia="宋体" w:hAnsi="宋体"/>
          <w:sz w:val="32"/>
          <w:szCs w:val="32"/>
          <w:color w:val="auto"/>
        </w:rPr>
        <w:t>（一）指导思想以习近平新时代中国特色社会主义思想为指导，全面贯彻党的十九大和十九届二中、三中、四中、五中全会精神，深入贯彻习近平总书记对北京重要讲话精神，坚持新发展理念、坚持深化改革开放、坚持首善标准，创新监管方式、提高监管效能、降低监管成本，全面构建贯穿市场主体全生命周期，衔接事前、事中、事后全监管环节的新型监管机制，进一步规范市场秩序，优化营商环境，推动首都高质量发展。</w:t>
      </w:r>
    </w:p>
    <w:p>
      <w:pPr>
        <w:sectPr>
          <w:pgSz w:w="11900" w:h="16838" w:orient="portrait"/>
          <w:cols w:equalWidth="0" w:num="1">
            <w:col w:w="9026"/>
          </w:cols>
          <w:pgMar w:left="1440" w:top="1440" w:right="1440" w:bottom="500" w:gutter="0" w:footer="0" w:header="0"/>
        </w:sectPr>
      </w:pPr>
    </w:p>
    <w:p>
      <w:pPr>
        <w:spacing w:after="0" w:line="326" w:lineRule="exact"/>
        <w:rPr>
          <w:sz w:val="20"/>
          <w:szCs w:val="20"/>
          <w:color w:val="auto"/>
        </w:rPr>
      </w:pPr>
    </w:p>
    <w:p>
      <w:pPr>
        <w:ind w:left="4380"/>
        <w:spacing w:after="0" w:line="308" w:lineRule="exact"/>
        <w:rPr>
          <w:sz w:val="20"/>
          <w:szCs w:val="20"/>
          <w:color w:val="auto"/>
        </w:rPr>
      </w:pPr>
      <w:r>
        <w:rPr>
          <w:rFonts w:ascii="宋体" w:cs="宋体" w:eastAsia="宋体" w:hAnsi="宋体"/>
          <w:sz w:val="27"/>
          <w:szCs w:val="27"/>
          <w:color w:val="auto"/>
        </w:rPr>
        <w:t>- 14 -</w:t>
      </w:r>
    </w:p>
    <w:p>
      <w:pPr>
        <w:sectPr>
          <w:pgSz w:w="11900" w:h="16838" w:orient="portrait"/>
          <w:cols w:equalWidth="0" w:num="1">
            <w:col w:w="9026"/>
          </w:cols>
          <w:pgMar w:left="1440" w:top="1440" w:right="1440" w:bottom="500" w:gutter="0" w:footer="0" w:header="0"/>
          <w:type w:val="continuous"/>
        </w:sectPr>
      </w:pPr>
    </w:p>
    <w:bookmarkStart w:id="16" w:name="page17"/>
    <w:bookmarkEnd w:id="16"/>
    <w:p>
      <w:pPr>
        <w:spacing w:after="0" w:line="143" w:lineRule="exact"/>
        <w:rPr>
          <w:sz w:val="20"/>
          <w:szCs w:val="20"/>
          <w:color w:val="auto"/>
        </w:rPr>
      </w:pPr>
    </w:p>
    <w:p>
      <w:pPr>
        <w:ind w:left="360" w:right="206" w:firstLine="641"/>
        <w:spacing w:after="0" w:line="531" w:lineRule="exact"/>
        <w:rPr>
          <w:sz w:val="20"/>
          <w:szCs w:val="20"/>
          <w:color w:val="auto"/>
        </w:rPr>
      </w:pPr>
      <w:r>
        <w:rPr>
          <w:rFonts w:ascii="宋体" w:cs="宋体" w:eastAsia="宋体" w:hAnsi="宋体"/>
          <w:sz w:val="32"/>
          <w:szCs w:val="32"/>
          <w:color w:val="auto"/>
        </w:rPr>
        <w:t>（二）建设目标到</w:t>
      </w:r>
      <w:r>
        <w:rPr>
          <w:rFonts w:ascii="Calibri" w:cs="Calibri" w:eastAsia="Calibri" w:hAnsi="Calibri"/>
          <w:sz w:val="32"/>
          <w:szCs w:val="32"/>
          <w:color w:val="auto"/>
        </w:rPr>
        <w:t xml:space="preserve"> 2022 </w:t>
      </w:r>
      <w:r>
        <w:rPr>
          <w:rFonts w:ascii="宋体" w:cs="宋体" w:eastAsia="宋体" w:hAnsi="宋体"/>
          <w:sz w:val="32"/>
          <w:szCs w:val="32"/>
          <w:color w:val="auto"/>
        </w:rPr>
        <w:t>年，基本形成以信用为基础的新型监管和治理机制，信用监管政策制度和标准体系比较完备，信用数据共享机制日臻完善，信用监管科技化、智能化水平显著提升，信用监管方式在重点行业和领域得到充分应用，在提升对市场主体服务和监管水平、降低监管和治理成本、改革优化营商环境、提高社会治理能力等方面成效显著，社会诚信意识普遍提升。</w:t>
      </w:r>
    </w:p>
    <w:p>
      <w:pPr>
        <w:spacing w:after="0" w:line="195"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二、重点任务</w:t>
      </w:r>
    </w:p>
    <w:p>
      <w:pPr>
        <w:spacing w:after="0" w:line="194"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（一）夯实信用建设基础</w:t>
      </w:r>
    </w:p>
    <w:p>
      <w:pPr>
        <w:spacing w:after="0" w:line="210" w:lineRule="exact"/>
        <w:rPr>
          <w:sz w:val="20"/>
          <w:szCs w:val="20"/>
          <w:color w:val="auto"/>
        </w:rPr>
      </w:pPr>
    </w:p>
    <w:p>
      <w:pPr>
        <w:jc w:val="both"/>
        <w:ind w:left="360" w:right="346" w:firstLine="641"/>
        <w:spacing w:after="0" w:line="534" w:lineRule="exact"/>
        <w:rPr>
          <w:sz w:val="20"/>
          <w:szCs w:val="20"/>
          <w:color w:val="auto"/>
        </w:rPr>
      </w:pPr>
      <w:r>
        <w:rPr>
          <w:rFonts w:ascii="Calibri" w:cs="Calibri" w:eastAsia="Calibri" w:hAnsi="Calibri"/>
          <w:sz w:val="32"/>
          <w:szCs w:val="32"/>
          <w:color w:val="auto"/>
        </w:rPr>
        <w:t>1.</w:t>
      </w:r>
      <w:r>
        <w:rPr>
          <w:rFonts w:ascii="宋体" w:cs="宋体" w:eastAsia="宋体" w:hAnsi="宋体"/>
          <w:sz w:val="32"/>
          <w:szCs w:val="32"/>
          <w:color w:val="auto"/>
        </w:rPr>
        <w:t>完善信用信息归集机制。依托市大数据平台，加快市公共信用信息服务平台二期建设，完善全市统一的信用联合奖惩信息管理系统，实现与各行业业务系统的嵌入式对接。基于大数据目录区块链，制订全市统一的信用信息采集和分类管理标准，编制《北京市公共信用信息目录》。完善与信用服务机构、金融机构、社会组织等各类社会主体的信用信息共享合作机制，促进公共信用信息和社会信用信息融合互动。</w:t>
      </w:r>
    </w:p>
    <w:p>
      <w:pPr>
        <w:spacing w:after="0" w:line="210" w:lineRule="exact"/>
        <w:rPr>
          <w:sz w:val="20"/>
          <w:szCs w:val="20"/>
          <w:color w:val="auto"/>
        </w:rPr>
      </w:pPr>
    </w:p>
    <w:p>
      <w:pPr>
        <w:ind w:left="1000"/>
        <w:spacing w:after="0" w:line="394" w:lineRule="exact"/>
        <w:rPr>
          <w:sz w:val="20"/>
          <w:szCs w:val="20"/>
          <w:color w:val="auto"/>
        </w:rPr>
      </w:pPr>
      <w:r>
        <w:rPr>
          <w:rFonts w:ascii="Calibri" w:cs="Calibri" w:eastAsia="Calibri" w:hAnsi="Calibri"/>
          <w:sz w:val="31"/>
          <w:szCs w:val="31"/>
          <w:color w:val="auto"/>
        </w:rPr>
        <w:t>2.</w:t>
      </w:r>
      <w:r>
        <w:rPr>
          <w:rFonts w:ascii="宋体" w:cs="宋体" w:eastAsia="宋体" w:hAnsi="宋体"/>
          <w:sz w:val="31"/>
          <w:szCs w:val="31"/>
          <w:color w:val="auto"/>
        </w:rPr>
        <w:t>全面建立信用信息记录。各有关部门在办理注册登记、</w:t>
      </w:r>
    </w:p>
    <w:p>
      <w:pPr>
        <w:spacing w:after="0" w:line="203" w:lineRule="exact"/>
        <w:rPr>
          <w:sz w:val="20"/>
          <w:szCs w:val="20"/>
          <w:color w:val="auto"/>
        </w:rPr>
      </w:pPr>
    </w:p>
    <w:p>
      <w:pPr>
        <w:jc w:val="both"/>
        <w:ind w:left="360" w:right="366"/>
        <w:spacing w:after="0" w:line="519" w:lineRule="exact"/>
        <w:rPr>
          <w:sz w:val="20"/>
          <w:szCs w:val="20"/>
          <w:color w:val="auto"/>
        </w:rPr>
      </w:pPr>
      <w:r>
        <w:rPr>
          <w:rFonts w:ascii="宋体" w:cs="宋体" w:eastAsia="宋体" w:hAnsi="宋体"/>
          <w:sz w:val="31"/>
          <w:szCs w:val="31"/>
          <w:color w:val="auto"/>
        </w:rPr>
        <w:t>进行资质审核、开展日常监管、提供公共服务等过程中，以统一社会信用代码为标识，及时、准确、全面记录市场主体信用行为，特别是将失信记录建档留痕，形成完整的市场主体信用记录，做到可查、可核、可溯。建立信用信息异议处理机制，由信息提供单位对异议信息进行核实，经核实有误的信息应及时更正或撤销。在保护公共安全、国家秘密、商</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ind w:left="4380"/>
        <w:spacing w:after="0" w:line="308" w:lineRule="exact"/>
        <w:rPr>
          <w:sz w:val="20"/>
          <w:szCs w:val="20"/>
          <w:color w:val="auto"/>
        </w:rPr>
      </w:pPr>
      <w:r>
        <w:rPr>
          <w:rFonts w:ascii="宋体" w:cs="宋体" w:eastAsia="宋体" w:hAnsi="宋体"/>
          <w:sz w:val="27"/>
          <w:szCs w:val="27"/>
          <w:color w:val="auto"/>
        </w:rPr>
        <w:t>- 15 -</w:t>
      </w:r>
    </w:p>
    <w:p>
      <w:pPr>
        <w:sectPr>
          <w:pgSz w:w="11900" w:h="16838" w:orient="portrait"/>
          <w:cols w:equalWidth="0" w:num="1">
            <w:col w:w="9026"/>
          </w:cols>
          <w:pgMar w:left="1440" w:top="1440" w:right="1440" w:bottom="500" w:gutter="0" w:footer="0" w:header="0"/>
          <w:type w:val="continuous"/>
        </w:sectPr>
      </w:pPr>
    </w:p>
    <w:bookmarkStart w:id="17" w:name="page18"/>
    <w:bookmarkEnd w:id="17"/>
    <w:p>
      <w:pPr>
        <w:spacing w:after="0" w:line="12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业秘密和个人隐私的前提下，依法依规公开信用信息。</w:t>
      </w:r>
    </w:p>
    <w:p>
      <w:pPr>
        <w:spacing w:after="0" w:line="242" w:lineRule="exact"/>
        <w:rPr>
          <w:sz w:val="20"/>
          <w:szCs w:val="20"/>
          <w:color w:val="auto"/>
        </w:rPr>
      </w:pPr>
    </w:p>
    <w:p>
      <w:pPr>
        <w:jc w:val="both"/>
        <w:ind w:left="360" w:right="346" w:firstLine="641"/>
        <w:spacing w:after="0" w:line="529" w:lineRule="exact"/>
        <w:rPr>
          <w:sz w:val="20"/>
          <w:szCs w:val="20"/>
          <w:color w:val="auto"/>
        </w:rPr>
      </w:pPr>
      <w:r>
        <w:rPr>
          <w:rFonts w:ascii="Calibri" w:cs="Calibri" w:eastAsia="Calibri" w:hAnsi="Calibri"/>
          <w:sz w:val="32"/>
          <w:szCs w:val="32"/>
          <w:color w:val="auto"/>
        </w:rPr>
        <w:t>3.</w:t>
      </w:r>
      <w:r>
        <w:rPr>
          <w:rFonts w:ascii="宋体" w:cs="宋体" w:eastAsia="宋体" w:hAnsi="宋体"/>
          <w:sz w:val="32"/>
          <w:szCs w:val="32"/>
          <w:color w:val="auto"/>
        </w:rPr>
        <w:t>优化信用信息社会化服务。进一步优化完善</w:t>
      </w:r>
      <w:r>
        <w:rPr>
          <w:rFonts w:ascii="Arial" w:cs="Arial" w:eastAsia="Arial" w:hAnsi="Arial"/>
          <w:sz w:val="32"/>
          <w:szCs w:val="32"/>
          <w:color w:val="auto"/>
        </w:rPr>
        <w:t>“</w:t>
      </w:r>
      <w:r>
        <w:rPr>
          <w:rFonts w:ascii="宋体" w:cs="宋体" w:eastAsia="宋体" w:hAnsi="宋体"/>
          <w:sz w:val="32"/>
          <w:szCs w:val="32"/>
          <w:color w:val="auto"/>
        </w:rPr>
        <w:t>信用中国（北京）</w:t>
      </w:r>
      <w:r>
        <w:rPr>
          <w:rFonts w:ascii="Arial" w:cs="Arial" w:eastAsia="Arial" w:hAnsi="Arial"/>
          <w:sz w:val="32"/>
          <w:szCs w:val="32"/>
          <w:color w:val="auto"/>
        </w:rPr>
        <w:t>”</w:t>
      </w:r>
      <w:r>
        <w:rPr>
          <w:rFonts w:ascii="宋体" w:cs="宋体" w:eastAsia="宋体" w:hAnsi="宋体"/>
          <w:sz w:val="32"/>
          <w:szCs w:val="32"/>
          <w:color w:val="auto"/>
        </w:rPr>
        <w:t>网站、市企业信用信息网，为信用服务机构、社会公众提供信用信息查询服务，不断丰富服务方式，拓宽服务渠道，重点披露失信被执行人、行政许可、行政处罚、经营异常名录、严重违法失信企业名单、商品质量等信息。依托市大数据平台，进一步完善市企业信用信息网的企业信用信息归集、共享机制，拓展信用信息服务场景，为市场主体和社会公众提供便利的企业信用信息服务。</w:t>
      </w:r>
    </w:p>
    <w:p>
      <w:pPr>
        <w:spacing w:after="0" w:line="219" w:lineRule="exact"/>
        <w:rPr>
          <w:sz w:val="20"/>
          <w:szCs w:val="20"/>
          <w:color w:val="auto"/>
        </w:rPr>
      </w:pPr>
    </w:p>
    <w:p>
      <w:pPr>
        <w:jc w:val="both"/>
        <w:ind w:left="360" w:right="366" w:firstLine="641"/>
        <w:spacing w:after="0" w:line="530" w:lineRule="exact"/>
        <w:rPr>
          <w:sz w:val="20"/>
          <w:szCs w:val="20"/>
          <w:color w:val="auto"/>
        </w:rPr>
      </w:pPr>
      <w:r>
        <w:rPr>
          <w:rFonts w:ascii="Calibri" w:cs="Calibri" w:eastAsia="Calibri" w:hAnsi="Calibri"/>
          <w:sz w:val="32"/>
          <w:szCs w:val="32"/>
          <w:color w:val="auto"/>
        </w:rPr>
        <w:t>4.</w:t>
      </w:r>
      <w:r>
        <w:rPr>
          <w:rFonts w:ascii="宋体" w:cs="宋体" w:eastAsia="宋体" w:hAnsi="宋体"/>
          <w:sz w:val="32"/>
          <w:szCs w:val="32"/>
          <w:color w:val="auto"/>
        </w:rPr>
        <w:t>建立健全信用信息自愿注册制度。在</w:t>
      </w:r>
      <w:r>
        <w:rPr>
          <w:rFonts w:ascii="Arial" w:cs="Arial" w:eastAsia="Arial" w:hAnsi="Arial"/>
          <w:sz w:val="32"/>
          <w:szCs w:val="32"/>
          <w:color w:val="auto"/>
        </w:rPr>
        <w:t>“</w:t>
      </w:r>
      <w:r>
        <w:rPr>
          <w:rFonts w:ascii="宋体" w:cs="宋体" w:eastAsia="宋体" w:hAnsi="宋体"/>
          <w:sz w:val="32"/>
          <w:szCs w:val="32"/>
          <w:color w:val="auto"/>
        </w:rPr>
        <w:t>信用中国（北京）</w:t>
      </w:r>
      <w:r>
        <w:rPr>
          <w:rFonts w:ascii="Arial" w:cs="Arial" w:eastAsia="Arial" w:hAnsi="Arial"/>
          <w:sz w:val="32"/>
          <w:szCs w:val="32"/>
          <w:color w:val="auto"/>
        </w:rPr>
        <w:t>”</w:t>
      </w:r>
      <w:r>
        <w:rPr>
          <w:rFonts w:ascii="宋体" w:cs="宋体" w:eastAsia="宋体" w:hAnsi="宋体"/>
          <w:sz w:val="32"/>
          <w:szCs w:val="32"/>
          <w:color w:val="auto"/>
        </w:rPr>
        <w:t>网站和市企业信用信息网开发市场主体信用信息自愿注册功能，研究制定鼓励市场主体自愿注册信用信息的激励措施。各有关部门应引导市场主体自愿注册资质证照、市场经营、合同履约、社会公益等信用信息；市场主体应对信息真实性作出公开承诺，并授权网站对相关信息进行整合、共享与应用。</w:t>
      </w:r>
    </w:p>
    <w:p>
      <w:pPr>
        <w:spacing w:after="0" w:line="196"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（二）创新事前环节信用监管</w:t>
      </w:r>
    </w:p>
    <w:p>
      <w:pPr>
        <w:spacing w:after="0" w:line="208" w:lineRule="exact"/>
        <w:rPr>
          <w:sz w:val="20"/>
          <w:szCs w:val="20"/>
          <w:color w:val="auto"/>
        </w:rPr>
      </w:pPr>
    </w:p>
    <w:p>
      <w:pPr>
        <w:ind w:left="360" w:right="206" w:firstLine="641"/>
        <w:spacing w:after="0" w:line="530" w:lineRule="exact"/>
        <w:rPr>
          <w:sz w:val="20"/>
          <w:szCs w:val="20"/>
          <w:color w:val="auto"/>
        </w:rPr>
      </w:pPr>
      <w:r>
        <w:rPr>
          <w:rFonts w:ascii="Calibri" w:cs="Calibri" w:eastAsia="Calibri" w:hAnsi="Calibri"/>
          <w:sz w:val="31"/>
          <w:szCs w:val="31"/>
          <w:color w:val="auto"/>
        </w:rPr>
        <w:t>5.</w:t>
      </w:r>
      <w:r>
        <w:rPr>
          <w:rFonts w:ascii="宋体" w:cs="宋体" w:eastAsia="宋体" w:hAnsi="宋体"/>
          <w:sz w:val="31"/>
          <w:szCs w:val="31"/>
          <w:color w:val="auto"/>
        </w:rPr>
        <w:t>建立健全政务服务事项信用承诺制度。在除直接涉及国家安全、公共安全和人民群众生命健康以外的行业、领域，推行政务服务事项办理告知承诺制，编制《告知承诺事项清单》，对清单中的事项应一次性告知申请人办理条件、标准、技术要求、所需材料；申请人以书面（含电子文本）形式承诺其符合办理条件，并承担违反承诺的相应后果后，有关部门依据告知承诺书直接作出同意决定。建立行政许可容缺受</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ind w:left="4380"/>
        <w:spacing w:after="0" w:line="308" w:lineRule="exact"/>
        <w:rPr>
          <w:sz w:val="20"/>
          <w:szCs w:val="20"/>
          <w:color w:val="auto"/>
        </w:rPr>
      </w:pPr>
      <w:r>
        <w:rPr>
          <w:rFonts w:ascii="宋体" w:cs="宋体" w:eastAsia="宋体" w:hAnsi="宋体"/>
          <w:sz w:val="27"/>
          <w:szCs w:val="27"/>
          <w:color w:val="auto"/>
        </w:rPr>
        <w:t>- 16 -</w:t>
      </w:r>
    </w:p>
    <w:p>
      <w:pPr>
        <w:sectPr>
          <w:pgSz w:w="11900" w:h="16838" w:orient="portrait"/>
          <w:cols w:equalWidth="0" w:num="1">
            <w:col w:w="9026"/>
          </w:cols>
          <w:pgMar w:left="1440" w:top="1440" w:right="1440" w:bottom="500" w:gutter="0" w:footer="0" w:header="0"/>
          <w:type w:val="continuous"/>
        </w:sectPr>
      </w:pPr>
    </w:p>
    <w:bookmarkStart w:id="18" w:name="page19"/>
    <w:bookmarkEnd w:id="18"/>
    <w:p>
      <w:pPr>
        <w:spacing w:after="0" w:line="177" w:lineRule="exact"/>
        <w:rPr>
          <w:sz w:val="20"/>
          <w:szCs w:val="20"/>
          <w:color w:val="auto"/>
        </w:rPr>
      </w:pPr>
    </w:p>
    <w:p>
      <w:pPr>
        <w:ind w:left="360" w:right="206"/>
        <w:spacing w:after="0" w:line="498" w:lineRule="exact"/>
        <w:rPr>
          <w:sz w:val="20"/>
          <w:szCs w:val="20"/>
          <w:color w:val="auto"/>
        </w:rPr>
      </w:pPr>
      <w:r>
        <w:rPr>
          <w:rFonts w:ascii="宋体" w:cs="宋体" w:eastAsia="宋体" w:hAnsi="宋体"/>
          <w:sz w:val="32"/>
          <w:szCs w:val="32"/>
          <w:color w:val="auto"/>
        </w:rPr>
        <w:t>理机制，各有关部门根据实际情况，对于申请人信用状况较好、部分申报材料不齐备但书面承诺在</w:t>
      </w:r>
      <w:r>
        <w:rPr>
          <w:rFonts w:ascii="Calibri" w:cs="Calibri" w:eastAsia="Calibri" w:hAnsi="Calibri"/>
          <w:sz w:val="32"/>
          <w:szCs w:val="32"/>
          <w:color w:val="auto"/>
        </w:rPr>
        <w:t xml:space="preserve"> 7 </w:t>
      </w:r>
      <w:r>
        <w:rPr>
          <w:rFonts w:ascii="宋体" w:cs="宋体" w:eastAsia="宋体" w:hAnsi="宋体"/>
          <w:sz w:val="32"/>
          <w:szCs w:val="32"/>
          <w:color w:val="auto"/>
        </w:rPr>
        <w:t>个工作日内提供的，应先行受理。各类违诺失信行为信息应当纳入信用记录，作为事中事后监管的重要依据。</w:t>
      </w:r>
    </w:p>
    <w:p>
      <w:pPr>
        <w:spacing w:after="0" w:line="213" w:lineRule="exact"/>
        <w:rPr>
          <w:sz w:val="20"/>
          <w:szCs w:val="20"/>
          <w:color w:val="auto"/>
        </w:rPr>
      </w:pPr>
    </w:p>
    <w:p>
      <w:pPr>
        <w:jc w:val="both"/>
        <w:ind w:left="360" w:right="366" w:firstLine="641"/>
        <w:spacing w:after="0" w:line="507" w:lineRule="exact"/>
        <w:rPr>
          <w:sz w:val="20"/>
          <w:szCs w:val="20"/>
          <w:color w:val="auto"/>
        </w:rPr>
      </w:pPr>
      <w:r>
        <w:rPr>
          <w:rFonts w:ascii="Calibri" w:cs="Calibri" w:eastAsia="Calibri" w:hAnsi="Calibri"/>
          <w:sz w:val="32"/>
          <w:szCs w:val="32"/>
          <w:color w:val="auto"/>
        </w:rPr>
        <w:t>6.</w:t>
      </w:r>
      <w:r>
        <w:rPr>
          <w:rFonts w:ascii="宋体" w:cs="宋体" w:eastAsia="宋体" w:hAnsi="宋体"/>
          <w:sz w:val="32"/>
          <w:szCs w:val="32"/>
          <w:color w:val="auto"/>
        </w:rPr>
        <w:t>推动自律性信用承诺制度建设。支持行业协会商会和社会组织建立健全行业内信用承诺制度，积极引导市场主体主动作出综合信用承诺或产品服务质量等专项承诺，并将签署的信用承诺书向社会公开，接受社会监督。</w:t>
      </w:r>
    </w:p>
    <w:p>
      <w:pPr>
        <w:spacing w:after="0" w:line="213" w:lineRule="exact"/>
        <w:rPr>
          <w:sz w:val="20"/>
          <w:szCs w:val="20"/>
          <w:color w:val="auto"/>
        </w:rPr>
      </w:pPr>
    </w:p>
    <w:p>
      <w:pPr>
        <w:jc w:val="both"/>
        <w:ind w:left="360" w:right="366" w:firstLine="641"/>
        <w:spacing w:after="0" w:line="530" w:lineRule="exact"/>
        <w:rPr>
          <w:sz w:val="20"/>
          <w:szCs w:val="20"/>
          <w:color w:val="auto"/>
        </w:rPr>
      </w:pPr>
      <w:r>
        <w:rPr>
          <w:rFonts w:ascii="Calibri" w:cs="Calibri" w:eastAsia="Calibri" w:hAnsi="Calibri"/>
          <w:sz w:val="31"/>
          <w:szCs w:val="31"/>
          <w:color w:val="auto"/>
        </w:rPr>
        <w:t>7.</w:t>
      </w:r>
      <w:r>
        <w:rPr>
          <w:rFonts w:ascii="宋体" w:cs="宋体" w:eastAsia="宋体" w:hAnsi="宋体"/>
          <w:sz w:val="31"/>
          <w:szCs w:val="31"/>
          <w:color w:val="auto"/>
        </w:rPr>
        <w:t>建立完善经营者准入前诚信教育制度。各有关部门应制定本行业领域经营者准入前诚信教育制度，充分利用各级各类政务服务窗口，广泛开展市场主体守法诚信教育。为市场主体办理注册、审批、备案等相关业务时，适时开展标准化、规范化、便捷化的法律知识和信用知识教育，提高经营者和重点岗位职业人群依法经营及诚信执业意识。开展诚信教育不得收取费用，不得作为市场准入的必要条件。</w:t>
      </w:r>
    </w:p>
    <w:p>
      <w:pPr>
        <w:spacing w:after="0" w:line="210" w:lineRule="exact"/>
        <w:rPr>
          <w:sz w:val="20"/>
          <w:szCs w:val="20"/>
          <w:color w:val="auto"/>
        </w:rPr>
      </w:pPr>
    </w:p>
    <w:p>
      <w:pPr>
        <w:ind w:left="1000"/>
        <w:spacing w:after="0" w:line="406" w:lineRule="exact"/>
        <w:rPr>
          <w:sz w:val="20"/>
          <w:szCs w:val="20"/>
          <w:color w:val="auto"/>
        </w:rPr>
      </w:pPr>
      <w:r>
        <w:rPr>
          <w:rFonts w:ascii="Calibri" w:cs="Calibri" w:eastAsia="Calibri" w:hAnsi="Calibri"/>
          <w:sz w:val="32"/>
          <w:szCs w:val="32"/>
          <w:color w:val="auto"/>
        </w:rPr>
        <w:t>8.</w:t>
      </w:r>
      <w:r>
        <w:rPr>
          <w:rFonts w:ascii="宋体" w:cs="宋体" w:eastAsia="宋体" w:hAnsi="宋体"/>
          <w:sz w:val="32"/>
          <w:szCs w:val="32"/>
          <w:color w:val="auto"/>
        </w:rPr>
        <w:t>积极推广信用报告应用。引导各类市场主体在生产经</w:t>
      </w:r>
    </w:p>
    <w:p>
      <w:pPr>
        <w:spacing w:after="0" w:line="190" w:lineRule="exact"/>
        <w:rPr>
          <w:sz w:val="20"/>
          <w:szCs w:val="20"/>
          <w:color w:val="auto"/>
        </w:rPr>
      </w:pPr>
    </w:p>
    <w:p>
      <w:pPr>
        <w:ind w:left="360" w:right="206"/>
        <w:spacing w:after="0" w:line="499" w:lineRule="exact"/>
        <w:rPr>
          <w:sz w:val="20"/>
          <w:szCs w:val="20"/>
          <w:color w:val="auto"/>
        </w:rPr>
      </w:pPr>
      <w:r>
        <w:rPr>
          <w:rFonts w:ascii="宋体" w:cs="宋体" w:eastAsia="宋体" w:hAnsi="宋体"/>
          <w:sz w:val="32"/>
          <w:szCs w:val="32"/>
          <w:color w:val="auto"/>
        </w:rPr>
        <w:t>营活动中更广泛、主动地应用信用报告。在政府采购、招标投标、行政审批、市场准入、资质审核等事项中，充分发挥公共信用服务机构和第三方信用服务机构出具的信用报告作用。按照国家统一部署，推动信用报告结果实现异地互认。</w:t>
      </w:r>
    </w:p>
    <w:p>
      <w:pPr>
        <w:spacing w:after="0" w:line="196"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（三）加强事中环节信用监管</w:t>
      </w:r>
    </w:p>
    <w:p>
      <w:pPr>
        <w:spacing w:after="0" w:line="210" w:lineRule="exact"/>
        <w:rPr>
          <w:sz w:val="20"/>
          <w:szCs w:val="20"/>
          <w:color w:val="auto"/>
        </w:rPr>
      </w:pPr>
    </w:p>
    <w:p>
      <w:pPr>
        <w:jc w:val="both"/>
        <w:ind w:left="360" w:right="366" w:firstLine="641"/>
        <w:spacing w:after="0" w:line="490" w:lineRule="exact"/>
        <w:rPr>
          <w:sz w:val="20"/>
          <w:szCs w:val="20"/>
          <w:color w:val="auto"/>
        </w:rPr>
      </w:pPr>
      <w:r>
        <w:rPr>
          <w:rFonts w:ascii="Calibri" w:cs="Calibri" w:eastAsia="Calibri" w:hAnsi="Calibri"/>
          <w:sz w:val="31"/>
          <w:szCs w:val="31"/>
          <w:color w:val="auto"/>
        </w:rPr>
        <w:t>9.</w:t>
      </w:r>
      <w:r>
        <w:rPr>
          <w:rFonts w:ascii="宋体" w:cs="宋体" w:eastAsia="宋体" w:hAnsi="宋体"/>
          <w:sz w:val="31"/>
          <w:szCs w:val="31"/>
          <w:color w:val="auto"/>
        </w:rPr>
        <w:t>建立完善信用分级分类监管制度。各有关部门研究制定以信用为基础的分级分类监管制度，编制本行业、本领域的信用评价指标体系、信用分级分类标准等。依据市公共信</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ind w:left="4380"/>
        <w:spacing w:after="0" w:line="308" w:lineRule="exact"/>
        <w:rPr>
          <w:sz w:val="20"/>
          <w:szCs w:val="20"/>
          <w:color w:val="auto"/>
        </w:rPr>
      </w:pPr>
      <w:r>
        <w:rPr>
          <w:rFonts w:ascii="宋体" w:cs="宋体" w:eastAsia="宋体" w:hAnsi="宋体"/>
          <w:sz w:val="27"/>
          <w:szCs w:val="27"/>
          <w:color w:val="auto"/>
        </w:rPr>
        <w:t>- 17 -</w:t>
      </w:r>
    </w:p>
    <w:p>
      <w:pPr>
        <w:sectPr>
          <w:pgSz w:w="11900" w:h="16838" w:orient="portrait"/>
          <w:cols w:equalWidth="0" w:num="1">
            <w:col w:w="9026"/>
          </w:cols>
          <w:pgMar w:left="1440" w:top="1440" w:right="1440" w:bottom="500" w:gutter="0" w:footer="0" w:header="0"/>
          <w:type w:val="continuous"/>
        </w:sectPr>
      </w:pPr>
    </w:p>
    <w:bookmarkStart w:id="19" w:name="page20"/>
    <w:bookmarkEnd w:id="19"/>
    <w:p>
      <w:pPr>
        <w:spacing w:after="0" w:line="177" w:lineRule="exact"/>
        <w:rPr>
          <w:sz w:val="20"/>
          <w:szCs w:val="20"/>
          <w:color w:val="auto"/>
        </w:rPr>
      </w:pPr>
    </w:p>
    <w:p>
      <w:pPr>
        <w:jc w:val="both"/>
        <w:ind w:left="360" w:right="366"/>
        <w:spacing w:after="0" w:line="499" w:lineRule="exact"/>
        <w:rPr>
          <w:sz w:val="20"/>
          <w:szCs w:val="20"/>
          <w:color w:val="auto"/>
        </w:rPr>
      </w:pPr>
      <w:r>
        <w:rPr>
          <w:rFonts w:ascii="宋体" w:cs="宋体" w:eastAsia="宋体" w:hAnsi="宋体"/>
          <w:sz w:val="32"/>
          <w:szCs w:val="32"/>
          <w:color w:val="auto"/>
        </w:rPr>
        <w:t>用信息服务平台形成的公共信用评价结果，利用多渠道归集的信用信息，结合行业管理数据，对监管对象进行信用分级分类，在</w:t>
      </w:r>
      <w:r>
        <w:rPr>
          <w:rFonts w:ascii="Arial" w:cs="Arial" w:eastAsia="Arial" w:hAnsi="Arial"/>
          <w:sz w:val="32"/>
          <w:szCs w:val="32"/>
          <w:color w:val="auto"/>
        </w:rPr>
        <w:t>“</w:t>
      </w:r>
      <w:r>
        <w:rPr>
          <w:rFonts w:ascii="宋体" w:cs="宋体" w:eastAsia="宋体" w:hAnsi="宋体"/>
          <w:sz w:val="32"/>
          <w:szCs w:val="32"/>
          <w:color w:val="auto"/>
        </w:rPr>
        <w:t>双随机、一公开</w:t>
      </w:r>
      <w:r>
        <w:rPr>
          <w:rFonts w:ascii="Arial" w:cs="Arial" w:eastAsia="Arial" w:hAnsi="Arial"/>
          <w:sz w:val="32"/>
          <w:szCs w:val="32"/>
          <w:color w:val="auto"/>
        </w:rPr>
        <w:t>”</w:t>
      </w:r>
      <w:r>
        <w:rPr>
          <w:rFonts w:ascii="宋体" w:cs="宋体" w:eastAsia="宋体" w:hAnsi="宋体"/>
          <w:sz w:val="32"/>
          <w:szCs w:val="32"/>
          <w:color w:val="auto"/>
        </w:rPr>
        <w:t>等监管工作中采取差异化监管措施。</w:t>
      </w:r>
    </w:p>
    <w:p>
      <w:pPr>
        <w:spacing w:after="0" w:line="210" w:lineRule="exact"/>
        <w:rPr>
          <w:sz w:val="20"/>
          <w:szCs w:val="20"/>
          <w:color w:val="auto"/>
        </w:rPr>
      </w:pPr>
    </w:p>
    <w:p>
      <w:pPr>
        <w:ind w:left="360" w:right="206" w:firstLine="641"/>
        <w:spacing w:after="0" w:line="534" w:lineRule="exact"/>
        <w:rPr>
          <w:sz w:val="20"/>
          <w:szCs w:val="20"/>
          <w:color w:val="auto"/>
        </w:rPr>
      </w:pPr>
      <w:r>
        <w:rPr>
          <w:rFonts w:ascii="Calibri" w:cs="Calibri" w:eastAsia="Calibri" w:hAnsi="Calibri"/>
          <w:sz w:val="32"/>
          <w:szCs w:val="32"/>
          <w:color w:val="auto"/>
        </w:rPr>
        <w:t>10.</w:t>
      </w:r>
      <w:r>
        <w:rPr>
          <w:rFonts w:ascii="宋体" w:cs="宋体" w:eastAsia="宋体" w:hAnsi="宋体"/>
          <w:sz w:val="32"/>
          <w:szCs w:val="32"/>
          <w:color w:val="auto"/>
        </w:rPr>
        <w:t>研究制定信用监管信息公示制度。在行政许可、行政处罚信息集中公示的基础上，研究推进行政强制、行政确认、行政征收、行政给付、行政裁决、行政补偿、行政奖励和行政监督检查等其他行政行为信息</w:t>
      </w:r>
      <w:r>
        <w:rPr>
          <w:rFonts w:ascii="Calibri" w:cs="Calibri" w:eastAsia="Calibri" w:hAnsi="Calibri"/>
          <w:sz w:val="32"/>
          <w:szCs w:val="32"/>
          <w:color w:val="auto"/>
        </w:rPr>
        <w:t xml:space="preserve"> 7 </w:t>
      </w:r>
      <w:r>
        <w:rPr>
          <w:rFonts w:ascii="宋体" w:cs="宋体" w:eastAsia="宋体" w:hAnsi="宋体"/>
          <w:sz w:val="32"/>
          <w:szCs w:val="32"/>
          <w:color w:val="auto"/>
        </w:rPr>
        <w:t>个工作日内公开公示；推动在司法裁判和执行活动中应当公开的失信被执行人、虚假诉讼失信人相关信息通过适当渠道公开，在不危及国家安全、公共安全、经济安全、社会稳定，不侵犯商业秘密、个人隐私的前提下，做到</w:t>
      </w:r>
      <w:r>
        <w:rPr>
          <w:rFonts w:ascii="Arial" w:cs="Arial" w:eastAsia="Arial" w:hAnsi="Arial"/>
          <w:sz w:val="32"/>
          <w:szCs w:val="32"/>
          <w:color w:val="auto"/>
        </w:rPr>
        <w:t>“</w:t>
      </w:r>
      <w:r>
        <w:rPr>
          <w:rFonts w:ascii="宋体" w:cs="宋体" w:eastAsia="宋体" w:hAnsi="宋体"/>
          <w:sz w:val="32"/>
          <w:szCs w:val="32"/>
          <w:color w:val="auto"/>
        </w:rPr>
        <w:t>应公开、尽公开</w:t>
      </w:r>
      <w:r>
        <w:rPr>
          <w:rFonts w:ascii="Arial" w:cs="Arial" w:eastAsia="Arial" w:hAnsi="Arial"/>
          <w:sz w:val="32"/>
          <w:szCs w:val="32"/>
          <w:color w:val="auto"/>
        </w:rPr>
        <w:t>”</w:t>
      </w:r>
      <w:r>
        <w:rPr>
          <w:rFonts w:ascii="宋体" w:cs="宋体" w:eastAsia="宋体" w:hAnsi="宋体"/>
          <w:sz w:val="32"/>
          <w:szCs w:val="32"/>
          <w:color w:val="auto"/>
        </w:rPr>
        <w:t>。</w:t>
      </w:r>
    </w:p>
    <w:p>
      <w:pPr>
        <w:spacing w:after="0" w:line="214" w:lineRule="exact"/>
        <w:rPr>
          <w:sz w:val="20"/>
          <w:szCs w:val="20"/>
          <w:color w:val="auto"/>
        </w:rPr>
      </w:pPr>
    </w:p>
    <w:p>
      <w:pPr>
        <w:jc w:val="both"/>
        <w:ind w:left="360" w:right="366" w:firstLine="641"/>
        <w:spacing w:after="0" w:line="508" w:lineRule="exact"/>
        <w:rPr>
          <w:sz w:val="20"/>
          <w:szCs w:val="20"/>
          <w:color w:val="auto"/>
        </w:rPr>
      </w:pPr>
      <w:r>
        <w:rPr>
          <w:rFonts w:ascii="Calibri" w:cs="Calibri" w:eastAsia="Calibri" w:hAnsi="Calibri"/>
          <w:sz w:val="32"/>
          <w:szCs w:val="32"/>
          <w:color w:val="auto"/>
        </w:rPr>
        <w:t>11.</w:t>
      </w:r>
      <w:r>
        <w:rPr>
          <w:rFonts w:ascii="宋体" w:cs="宋体" w:eastAsia="宋体" w:hAnsi="宋体"/>
          <w:sz w:val="32"/>
          <w:szCs w:val="32"/>
          <w:color w:val="auto"/>
        </w:rPr>
        <w:t>探索建立重点关注对象名单制度。在重点行业和领域对存在失信行为但尚未达到失信联合惩戒对象认定标准的市场主体，探索建立重点关注对象名单制度和相关管理规范，实施与其失信程度相对应的监管措施。</w:t>
      </w:r>
    </w:p>
    <w:p>
      <w:pPr>
        <w:spacing w:after="0" w:line="195"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（四）完善事后环节信用监管</w:t>
      </w:r>
    </w:p>
    <w:p>
      <w:pPr>
        <w:spacing w:after="0" w:line="208" w:lineRule="exact"/>
        <w:rPr>
          <w:sz w:val="20"/>
          <w:szCs w:val="20"/>
          <w:color w:val="auto"/>
        </w:rPr>
      </w:pPr>
    </w:p>
    <w:p>
      <w:pPr>
        <w:jc w:val="both"/>
        <w:ind w:left="360" w:right="346" w:firstLine="641"/>
        <w:spacing w:after="0" w:line="530" w:lineRule="exact"/>
        <w:rPr>
          <w:sz w:val="20"/>
          <w:szCs w:val="20"/>
          <w:color w:val="auto"/>
        </w:rPr>
      </w:pPr>
      <w:r>
        <w:rPr>
          <w:rFonts w:ascii="Calibri" w:cs="Calibri" w:eastAsia="Calibri" w:hAnsi="Calibri"/>
          <w:sz w:val="31"/>
          <w:szCs w:val="31"/>
          <w:color w:val="auto"/>
        </w:rPr>
        <w:t>12.</w:t>
      </w:r>
      <w:r>
        <w:rPr>
          <w:rFonts w:ascii="宋体" w:cs="宋体" w:eastAsia="宋体" w:hAnsi="宋体"/>
          <w:sz w:val="31"/>
          <w:szCs w:val="31"/>
          <w:color w:val="auto"/>
        </w:rPr>
        <w:t>完善信用联合奖惩机制。完善信用联合奖惩对象名单管理办法和全市统一的信用联合奖惩对象清单、行为清单、措施清单。各有关部门应依法依规对信用联合奖惩对象分别采取激励性、惩戒性措施，对与人民群众生命财产安全直接相关的重点领域实施严格监管，视情节在一定期限内实施市场和行业禁入措施。鼓励和引导行业协会商会、社会组织、商业机构等为信用状况良好的市场主体提供行业性、市场性</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ind w:left="4380"/>
        <w:spacing w:after="0" w:line="308" w:lineRule="exact"/>
        <w:rPr>
          <w:sz w:val="20"/>
          <w:szCs w:val="20"/>
          <w:color w:val="auto"/>
        </w:rPr>
      </w:pPr>
      <w:r>
        <w:rPr>
          <w:rFonts w:ascii="宋体" w:cs="宋体" w:eastAsia="宋体" w:hAnsi="宋体"/>
          <w:sz w:val="27"/>
          <w:szCs w:val="27"/>
          <w:color w:val="auto"/>
        </w:rPr>
        <w:t>- 18 -</w:t>
      </w:r>
    </w:p>
    <w:p>
      <w:pPr>
        <w:sectPr>
          <w:pgSz w:w="11900" w:h="16838" w:orient="portrait"/>
          <w:cols w:equalWidth="0" w:num="1">
            <w:col w:w="9026"/>
          </w:cols>
          <w:pgMar w:left="1440" w:top="1440" w:right="1440" w:bottom="500" w:gutter="0" w:footer="0" w:header="0"/>
          <w:type w:val="continuous"/>
        </w:sectPr>
      </w:pPr>
    </w:p>
    <w:bookmarkStart w:id="20" w:name="page21"/>
    <w:bookmarkEnd w:id="20"/>
    <w:p>
      <w:pPr>
        <w:spacing w:after="0" w:line="12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激励措施。</w:t>
      </w:r>
    </w:p>
    <w:p>
      <w:pPr>
        <w:spacing w:after="0" w:line="242" w:lineRule="exact"/>
        <w:rPr>
          <w:sz w:val="20"/>
          <w:szCs w:val="20"/>
          <w:color w:val="auto"/>
        </w:rPr>
      </w:pPr>
    </w:p>
    <w:p>
      <w:pPr>
        <w:jc w:val="both"/>
        <w:ind w:left="360" w:right="366" w:firstLine="641"/>
        <w:spacing w:after="0" w:line="498" w:lineRule="exact"/>
        <w:rPr>
          <w:sz w:val="20"/>
          <w:szCs w:val="20"/>
          <w:color w:val="auto"/>
        </w:rPr>
      </w:pPr>
      <w:r>
        <w:rPr>
          <w:rFonts w:ascii="Calibri" w:cs="Calibri" w:eastAsia="Calibri" w:hAnsi="Calibri"/>
          <w:sz w:val="32"/>
          <w:szCs w:val="32"/>
          <w:color w:val="auto"/>
        </w:rPr>
        <w:t>13.</w:t>
      </w:r>
      <w:r>
        <w:rPr>
          <w:rFonts w:ascii="宋体" w:cs="宋体" w:eastAsia="宋体" w:hAnsi="宋体"/>
          <w:sz w:val="32"/>
          <w:szCs w:val="32"/>
          <w:color w:val="auto"/>
        </w:rPr>
        <w:t>建立完善信用修复制度。对于完成信用修复的失信市场主体，按程序停止公示其失信记录，终止实施联合惩戒措施。鼓励符合条件的第三方信用服务机构向失信市场主体提供信用报告、信用管理咨询等服务。</w:t>
      </w:r>
    </w:p>
    <w:p>
      <w:pPr>
        <w:spacing w:after="0" w:line="19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（五）组织开展信用监管支撑系列专项行动</w:t>
      </w:r>
    </w:p>
    <w:p>
      <w:pPr>
        <w:spacing w:after="0" w:line="208" w:lineRule="exact"/>
        <w:rPr>
          <w:sz w:val="20"/>
          <w:szCs w:val="20"/>
          <w:color w:val="auto"/>
        </w:rPr>
      </w:pPr>
    </w:p>
    <w:p>
      <w:pPr>
        <w:ind w:left="1000"/>
        <w:spacing w:after="0" w:line="406" w:lineRule="exact"/>
        <w:rPr>
          <w:sz w:val="20"/>
          <w:szCs w:val="20"/>
          <w:color w:val="auto"/>
        </w:rPr>
      </w:pPr>
      <w:r>
        <w:rPr>
          <w:rFonts w:ascii="Calibri" w:cs="Calibri" w:eastAsia="Calibri" w:hAnsi="Calibri"/>
          <w:sz w:val="32"/>
          <w:szCs w:val="32"/>
          <w:color w:val="auto"/>
        </w:rPr>
        <w:t>14.</w:t>
      </w:r>
      <w:r>
        <w:rPr>
          <w:rFonts w:ascii="宋体" w:cs="宋体" w:eastAsia="宋体" w:hAnsi="宋体"/>
          <w:sz w:val="32"/>
          <w:szCs w:val="32"/>
          <w:color w:val="auto"/>
        </w:rPr>
        <w:t>开展技术创新驱动专项行动。</w:t>
      </w:r>
    </w:p>
    <w:p>
      <w:pPr>
        <w:spacing w:after="0" w:line="190" w:lineRule="exact"/>
        <w:rPr>
          <w:sz w:val="20"/>
          <w:szCs w:val="20"/>
          <w:color w:val="auto"/>
        </w:rPr>
      </w:pPr>
    </w:p>
    <w:p>
      <w:pPr>
        <w:ind w:left="360" w:right="186" w:firstLine="641"/>
        <w:spacing w:after="0" w:line="510" w:lineRule="exact"/>
        <w:rPr>
          <w:sz w:val="20"/>
          <w:szCs w:val="20"/>
          <w:color w:val="auto"/>
        </w:rPr>
      </w:pPr>
      <w:r>
        <w:rPr>
          <w:rFonts w:ascii="宋体" w:cs="宋体" w:eastAsia="宋体" w:hAnsi="宋体"/>
          <w:sz w:val="32"/>
          <w:szCs w:val="32"/>
          <w:color w:val="auto"/>
        </w:rPr>
        <w:t>探索和推动区块链技术在信用领域的规模化应用，构建社会信用区块链体系，形成以数据定义信用的管理与技术体系，充分发挥信用信息记录数据在分级分类监管规则中的应用。探讨利用智能合约机制，实现敏感数据</w:t>
      </w:r>
      <w:r>
        <w:rPr>
          <w:rFonts w:ascii="Arial" w:cs="Arial" w:eastAsia="Arial" w:hAnsi="Arial"/>
          <w:sz w:val="32"/>
          <w:szCs w:val="32"/>
          <w:color w:val="auto"/>
        </w:rPr>
        <w:t>“</w:t>
      </w:r>
      <w:r>
        <w:rPr>
          <w:rFonts w:ascii="宋体" w:cs="宋体" w:eastAsia="宋体" w:hAnsi="宋体"/>
          <w:sz w:val="32"/>
          <w:szCs w:val="32"/>
          <w:color w:val="auto"/>
        </w:rPr>
        <w:t>可用不可见</w:t>
      </w:r>
      <w:r>
        <w:rPr>
          <w:rFonts w:ascii="Arial" w:cs="Arial" w:eastAsia="Arial" w:hAnsi="Arial"/>
          <w:sz w:val="32"/>
          <w:szCs w:val="32"/>
          <w:color w:val="auto"/>
        </w:rPr>
        <w:t>”</w:t>
      </w:r>
      <w:r>
        <w:rPr>
          <w:rFonts w:ascii="宋体" w:cs="宋体" w:eastAsia="宋体" w:hAnsi="宋体"/>
          <w:sz w:val="32"/>
          <w:szCs w:val="32"/>
          <w:color w:val="auto"/>
        </w:rPr>
        <w:t>，推动信用数据有序流动和运转。</w:t>
      </w:r>
    </w:p>
    <w:p>
      <w:pPr>
        <w:spacing w:after="0" w:line="218" w:lineRule="exact"/>
        <w:rPr>
          <w:sz w:val="20"/>
          <w:szCs w:val="20"/>
          <w:color w:val="auto"/>
        </w:rPr>
      </w:pPr>
    </w:p>
    <w:p>
      <w:pPr>
        <w:jc w:val="both"/>
        <w:ind w:left="360" w:right="366" w:firstLine="641"/>
        <w:spacing w:after="0" w:line="524" w:lineRule="exact"/>
        <w:rPr>
          <w:sz w:val="20"/>
          <w:szCs w:val="20"/>
          <w:color w:val="auto"/>
        </w:rPr>
      </w:pPr>
      <w:r>
        <w:rPr>
          <w:rFonts w:ascii="Calibri" w:cs="Calibri" w:eastAsia="Calibri" w:hAnsi="Calibri"/>
          <w:sz w:val="32"/>
          <w:szCs w:val="32"/>
          <w:color w:val="auto"/>
        </w:rPr>
        <w:t>15.</w:t>
      </w:r>
      <w:r>
        <w:rPr>
          <w:rFonts w:ascii="宋体" w:cs="宋体" w:eastAsia="宋体" w:hAnsi="宋体"/>
          <w:sz w:val="32"/>
          <w:szCs w:val="32"/>
          <w:color w:val="auto"/>
        </w:rPr>
        <w:t>开展信用监管大数据应用专项行动。鼓励各区、各部门结合实际，依托国家</w:t>
      </w:r>
      <w:r>
        <w:rPr>
          <w:rFonts w:ascii="Arial" w:cs="Arial" w:eastAsia="Arial" w:hAnsi="Arial"/>
          <w:sz w:val="32"/>
          <w:szCs w:val="32"/>
          <w:color w:val="auto"/>
        </w:rPr>
        <w:t>“</w:t>
      </w:r>
      <w:r>
        <w:rPr>
          <w:rFonts w:ascii="宋体" w:cs="宋体" w:eastAsia="宋体" w:hAnsi="宋体"/>
          <w:sz w:val="32"/>
          <w:szCs w:val="32"/>
          <w:color w:val="auto"/>
        </w:rPr>
        <w:t>互联网</w:t>
      </w:r>
      <w:r>
        <w:rPr>
          <w:rFonts w:ascii="Calibri" w:cs="Calibri" w:eastAsia="Calibri" w:hAnsi="Calibri"/>
          <w:sz w:val="32"/>
          <w:szCs w:val="32"/>
          <w:color w:val="auto"/>
        </w:rPr>
        <w:t>+</w:t>
      </w:r>
      <w:r>
        <w:rPr>
          <w:rFonts w:ascii="宋体" w:cs="宋体" w:eastAsia="宋体" w:hAnsi="宋体"/>
          <w:sz w:val="32"/>
          <w:szCs w:val="32"/>
          <w:color w:val="auto"/>
        </w:rPr>
        <w:t>监管</w:t>
      </w:r>
      <w:r>
        <w:rPr>
          <w:rFonts w:ascii="Arial" w:cs="Arial" w:eastAsia="Arial" w:hAnsi="Arial"/>
          <w:sz w:val="32"/>
          <w:szCs w:val="32"/>
          <w:color w:val="auto"/>
        </w:rPr>
        <w:t>”</w:t>
      </w:r>
      <w:r>
        <w:rPr>
          <w:rFonts w:ascii="宋体" w:cs="宋体" w:eastAsia="宋体" w:hAnsi="宋体"/>
          <w:sz w:val="32"/>
          <w:szCs w:val="32"/>
          <w:color w:val="auto"/>
        </w:rPr>
        <w:t>系统和市大数据平台，依法依规与信用服务机构合作，建立信用领域大数据监测机制，提升信用信息数据分析、风险研判预警和应急处置能力。支持各区在基层治理、商圈发展等方面深入应用大数据开展信用监管。</w:t>
      </w:r>
    </w:p>
    <w:p>
      <w:pPr>
        <w:spacing w:after="0" w:line="217" w:lineRule="exact"/>
        <w:rPr>
          <w:sz w:val="20"/>
          <w:szCs w:val="20"/>
          <w:color w:val="auto"/>
        </w:rPr>
      </w:pPr>
    </w:p>
    <w:p>
      <w:pPr>
        <w:jc w:val="both"/>
        <w:ind w:left="360" w:right="366" w:firstLine="641"/>
        <w:spacing w:after="0" w:line="524" w:lineRule="exact"/>
        <w:rPr>
          <w:sz w:val="20"/>
          <w:szCs w:val="20"/>
          <w:color w:val="auto"/>
        </w:rPr>
      </w:pPr>
      <w:r>
        <w:rPr>
          <w:rFonts w:ascii="Calibri" w:cs="Calibri" w:eastAsia="Calibri" w:hAnsi="Calibri"/>
          <w:sz w:val="31"/>
          <w:szCs w:val="31"/>
          <w:color w:val="auto"/>
        </w:rPr>
        <w:t>16.</w:t>
      </w:r>
      <w:r>
        <w:rPr>
          <w:rFonts w:ascii="宋体" w:cs="宋体" w:eastAsia="宋体" w:hAnsi="宋体"/>
          <w:sz w:val="31"/>
          <w:szCs w:val="31"/>
          <w:color w:val="auto"/>
        </w:rPr>
        <w:t>开展行业组织和信用服务机构协同监管专项行动。支持行业协会商会开展行业信用建设和信用监管，加大行业失信惩戒力度，根据企业失信情节轻重在行业内实施通报批评、公开谴责、不予接纳、劝退等惩戒措施。鼓励行业协会商会建立会员信用记录，开展信用承诺、信用培训、诚信宣传、诚信倡议等活动。引导行业协会商会与信用服务机构在</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ind w:left="4380"/>
        <w:spacing w:after="0" w:line="308" w:lineRule="exact"/>
        <w:rPr>
          <w:sz w:val="20"/>
          <w:szCs w:val="20"/>
          <w:color w:val="auto"/>
        </w:rPr>
      </w:pPr>
      <w:r>
        <w:rPr>
          <w:rFonts w:ascii="宋体" w:cs="宋体" w:eastAsia="宋体" w:hAnsi="宋体"/>
          <w:sz w:val="27"/>
          <w:szCs w:val="27"/>
          <w:color w:val="auto"/>
        </w:rPr>
        <w:t>- 19 -</w:t>
      </w:r>
    </w:p>
    <w:p>
      <w:pPr>
        <w:sectPr>
          <w:pgSz w:w="11900" w:h="16838" w:orient="portrait"/>
          <w:cols w:equalWidth="0" w:num="1">
            <w:col w:w="9026"/>
          </w:cols>
          <w:pgMar w:left="1440" w:top="1440" w:right="1440" w:bottom="500" w:gutter="0" w:footer="0" w:header="0"/>
          <w:type w:val="continuous"/>
        </w:sectPr>
      </w:pPr>
    </w:p>
    <w:bookmarkStart w:id="21" w:name="page22"/>
    <w:bookmarkEnd w:id="21"/>
    <w:p>
      <w:pPr>
        <w:spacing w:after="0" w:line="177" w:lineRule="exact"/>
        <w:rPr>
          <w:sz w:val="20"/>
          <w:szCs w:val="20"/>
          <w:color w:val="auto"/>
        </w:rPr>
      </w:pPr>
    </w:p>
    <w:p>
      <w:pPr>
        <w:jc w:val="both"/>
        <w:ind w:left="360" w:right="346"/>
        <w:spacing w:after="0" w:line="499" w:lineRule="exact"/>
        <w:rPr>
          <w:sz w:val="20"/>
          <w:szCs w:val="20"/>
          <w:color w:val="auto"/>
        </w:rPr>
      </w:pPr>
      <w:r>
        <w:rPr>
          <w:rFonts w:ascii="宋体" w:cs="宋体" w:eastAsia="宋体" w:hAnsi="宋体"/>
          <w:sz w:val="32"/>
          <w:szCs w:val="32"/>
          <w:color w:val="auto"/>
        </w:rPr>
        <w:t>信用记录归集、信用信息共享、信用大数据分析、信用风险预警、失信案例核查、失信行为跟踪监测等方面开展合作。推动征信、信用评级、信用保险、信用担保、履约担保、信用管理咨询及培训等信用服务发展。</w:t>
      </w:r>
    </w:p>
    <w:p>
      <w:pPr>
        <w:spacing w:after="0" w:line="209" w:lineRule="exact"/>
        <w:rPr>
          <w:sz w:val="20"/>
          <w:szCs w:val="20"/>
          <w:color w:val="auto"/>
        </w:rPr>
      </w:pPr>
    </w:p>
    <w:p>
      <w:pPr>
        <w:ind w:left="360" w:right="206" w:firstLine="641"/>
        <w:spacing w:after="0" w:line="525" w:lineRule="exact"/>
        <w:rPr>
          <w:sz w:val="20"/>
          <w:szCs w:val="20"/>
          <w:color w:val="auto"/>
        </w:rPr>
      </w:pPr>
      <w:r>
        <w:rPr>
          <w:rFonts w:ascii="Calibri" w:cs="Calibri" w:eastAsia="Calibri" w:hAnsi="Calibri"/>
          <w:sz w:val="32"/>
          <w:szCs w:val="32"/>
          <w:color w:val="auto"/>
        </w:rPr>
        <w:t>17.</w:t>
      </w:r>
      <w:r>
        <w:rPr>
          <w:rFonts w:ascii="宋体" w:cs="宋体" w:eastAsia="宋体" w:hAnsi="宋体"/>
          <w:sz w:val="32"/>
          <w:szCs w:val="32"/>
          <w:color w:val="auto"/>
        </w:rPr>
        <w:t>开展个人诚信体系建设与守信惠民专项行动。探索依据个人公共信用信息，构建个人诚信激励机制，鼓励各行业和领域面向重点岗位职业人群等开展试点应用。支持社会机构开展信用</w:t>
      </w:r>
      <w:r>
        <w:rPr>
          <w:rFonts w:ascii="Calibri" w:cs="Calibri" w:eastAsia="Calibri" w:hAnsi="Calibri"/>
          <w:sz w:val="32"/>
          <w:szCs w:val="32"/>
          <w:color w:val="auto"/>
        </w:rPr>
        <w:t>+</w:t>
      </w:r>
      <w:r>
        <w:rPr>
          <w:rFonts w:ascii="宋体" w:cs="宋体" w:eastAsia="宋体" w:hAnsi="宋体"/>
          <w:sz w:val="32"/>
          <w:szCs w:val="32"/>
          <w:color w:val="auto"/>
        </w:rPr>
        <w:t>医疗、信用</w:t>
      </w:r>
      <w:r>
        <w:rPr>
          <w:rFonts w:ascii="Calibri" w:cs="Calibri" w:eastAsia="Calibri" w:hAnsi="Calibri"/>
          <w:sz w:val="32"/>
          <w:szCs w:val="32"/>
          <w:color w:val="auto"/>
        </w:rPr>
        <w:t>+</w:t>
      </w:r>
      <w:r>
        <w:rPr>
          <w:rFonts w:ascii="宋体" w:cs="宋体" w:eastAsia="宋体" w:hAnsi="宋体"/>
          <w:sz w:val="32"/>
          <w:szCs w:val="32"/>
          <w:color w:val="auto"/>
        </w:rPr>
        <w:t>交通、信用</w:t>
      </w:r>
      <w:r>
        <w:rPr>
          <w:rFonts w:ascii="Calibri" w:cs="Calibri" w:eastAsia="Calibri" w:hAnsi="Calibri"/>
          <w:sz w:val="32"/>
          <w:szCs w:val="32"/>
          <w:color w:val="auto"/>
        </w:rPr>
        <w:t>+</w:t>
      </w:r>
      <w:r>
        <w:rPr>
          <w:rFonts w:ascii="宋体" w:cs="宋体" w:eastAsia="宋体" w:hAnsi="宋体"/>
          <w:sz w:val="32"/>
          <w:szCs w:val="32"/>
          <w:color w:val="auto"/>
        </w:rPr>
        <w:t>消费等惠民创新应用，促进个人诚信激励机制在公共服务、市场交易、社会生活等领域拓展应用场景。</w:t>
      </w:r>
    </w:p>
    <w:p>
      <w:pPr>
        <w:spacing w:after="0" w:line="212" w:lineRule="exact"/>
        <w:rPr>
          <w:sz w:val="20"/>
          <w:szCs w:val="20"/>
          <w:color w:val="auto"/>
        </w:rPr>
      </w:pPr>
    </w:p>
    <w:p>
      <w:pPr>
        <w:jc w:val="both"/>
        <w:ind w:left="360" w:right="266" w:firstLine="641"/>
        <w:spacing w:after="0" w:line="525" w:lineRule="exact"/>
        <w:rPr>
          <w:sz w:val="20"/>
          <w:szCs w:val="20"/>
          <w:color w:val="auto"/>
        </w:rPr>
      </w:pPr>
      <w:r>
        <w:rPr>
          <w:rFonts w:ascii="Calibri" w:cs="Calibri" w:eastAsia="Calibri" w:hAnsi="Calibri"/>
          <w:sz w:val="32"/>
          <w:szCs w:val="32"/>
          <w:color w:val="auto"/>
        </w:rPr>
        <w:t>18.</w:t>
      </w:r>
      <w:r>
        <w:rPr>
          <w:rFonts w:ascii="宋体" w:cs="宋体" w:eastAsia="宋体" w:hAnsi="宋体"/>
          <w:sz w:val="32"/>
          <w:szCs w:val="32"/>
          <w:color w:val="auto"/>
        </w:rPr>
        <w:t>推进京津冀信用监管协同机制建设。以交通、旅游、生态环境等行业领域为重点，推进京津冀统一的信用监管政策制度和标准体系建设，加强信用监管信息共享，支持社会机构合作建设</w:t>
      </w:r>
      <w:r>
        <w:rPr>
          <w:rFonts w:ascii="Arial" w:cs="Arial" w:eastAsia="Arial" w:hAnsi="Arial"/>
          <w:sz w:val="32"/>
          <w:szCs w:val="32"/>
          <w:color w:val="auto"/>
        </w:rPr>
        <w:t>“</w:t>
      </w:r>
      <w:r>
        <w:rPr>
          <w:rFonts w:ascii="宋体" w:cs="宋体" w:eastAsia="宋体" w:hAnsi="宋体"/>
          <w:sz w:val="32"/>
          <w:szCs w:val="32"/>
          <w:color w:val="auto"/>
        </w:rPr>
        <w:t>京津冀信用科技实验室</w:t>
      </w:r>
      <w:r>
        <w:rPr>
          <w:rFonts w:ascii="Arial" w:cs="Arial" w:eastAsia="Arial" w:hAnsi="Arial"/>
          <w:sz w:val="32"/>
          <w:szCs w:val="32"/>
          <w:color w:val="auto"/>
        </w:rPr>
        <w:t>”</w:t>
      </w:r>
      <w:r>
        <w:rPr>
          <w:rFonts w:ascii="宋体" w:cs="宋体" w:eastAsia="宋体" w:hAnsi="宋体"/>
          <w:sz w:val="32"/>
          <w:szCs w:val="32"/>
          <w:color w:val="auto"/>
        </w:rPr>
        <w:t>，促进信用评价和分级分类监管、信用惠民便企服务在京津冀区域的联合创新应用。</w:t>
      </w:r>
    </w:p>
    <w:p>
      <w:pPr>
        <w:spacing w:after="0" w:line="198"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三、保障措施</w:t>
      </w:r>
    </w:p>
    <w:p>
      <w:pPr>
        <w:spacing w:after="0" w:line="242" w:lineRule="exact"/>
        <w:rPr>
          <w:sz w:val="20"/>
          <w:szCs w:val="20"/>
          <w:color w:val="auto"/>
        </w:rPr>
      </w:pPr>
    </w:p>
    <w:p>
      <w:pPr>
        <w:jc w:val="both"/>
        <w:ind w:left="360" w:right="366" w:firstLine="641"/>
        <w:spacing w:after="0" w:line="519" w:lineRule="exact"/>
        <w:rPr>
          <w:sz w:val="20"/>
          <w:szCs w:val="20"/>
          <w:color w:val="auto"/>
        </w:rPr>
      </w:pPr>
      <w:r>
        <w:rPr>
          <w:rFonts w:ascii="宋体" w:cs="宋体" w:eastAsia="宋体" w:hAnsi="宋体"/>
          <w:sz w:val="32"/>
          <w:szCs w:val="32"/>
          <w:color w:val="auto"/>
        </w:rPr>
        <w:t>（一）强化组织领导。加大推进信用监管工作统筹协调力度，进一步明确负有市场监管、行业监管职责部门的主体责任，加强信用监管与其他</w:t>
      </w:r>
      <w:r>
        <w:rPr>
          <w:rFonts w:ascii="Arial" w:cs="Arial" w:eastAsia="Arial" w:hAnsi="Arial"/>
          <w:sz w:val="32"/>
          <w:szCs w:val="32"/>
          <w:color w:val="auto"/>
        </w:rPr>
        <w:t>“</w:t>
      </w:r>
      <w:r>
        <w:rPr>
          <w:rFonts w:ascii="宋体" w:cs="宋体" w:eastAsia="宋体" w:hAnsi="宋体"/>
          <w:sz w:val="32"/>
          <w:szCs w:val="32"/>
          <w:color w:val="auto"/>
        </w:rPr>
        <w:t>放管服</w:t>
      </w:r>
      <w:r>
        <w:rPr>
          <w:rFonts w:ascii="Arial" w:cs="Arial" w:eastAsia="Arial" w:hAnsi="Arial"/>
          <w:sz w:val="32"/>
          <w:szCs w:val="32"/>
          <w:color w:val="auto"/>
        </w:rPr>
        <w:t>”</w:t>
      </w:r>
      <w:r>
        <w:rPr>
          <w:rFonts w:ascii="宋体" w:cs="宋体" w:eastAsia="宋体" w:hAnsi="宋体"/>
          <w:sz w:val="32"/>
          <w:szCs w:val="32"/>
          <w:color w:val="auto"/>
        </w:rPr>
        <w:t>改革事项衔接，加快完善相关配套制度。各区应强化区级社会信用协同推进机制，制定工作方案，明确职责分工，狠抓任务落实。持续开展各区、重点行业和领域信用状况第三方监测。</w:t>
      </w:r>
    </w:p>
    <w:p>
      <w:pPr>
        <w:spacing w:after="0" w:line="212" w:lineRule="exact"/>
        <w:rPr>
          <w:sz w:val="20"/>
          <w:szCs w:val="20"/>
          <w:color w:val="auto"/>
        </w:rPr>
      </w:pPr>
    </w:p>
    <w:p>
      <w:pPr>
        <w:ind w:left="1000"/>
        <w:spacing w:after="0" w:line="354" w:lineRule="exact"/>
        <w:rPr>
          <w:sz w:val="20"/>
          <w:szCs w:val="20"/>
          <w:color w:val="auto"/>
        </w:rPr>
      </w:pPr>
      <w:r>
        <w:rPr>
          <w:rFonts w:ascii="宋体" w:cs="宋体" w:eastAsia="宋体" w:hAnsi="宋体"/>
          <w:sz w:val="31"/>
          <w:szCs w:val="31"/>
          <w:color w:val="auto"/>
        </w:rPr>
        <w:t>（二）推进试点示范。鼓励各区、各部门围绕信用承诺、</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ind w:left="4380"/>
        <w:spacing w:after="0" w:line="308" w:lineRule="exact"/>
        <w:rPr>
          <w:sz w:val="20"/>
          <w:szCs w:val="20"/>
          <w:color w:val="auto"/>
        </w:rPr>
      </w:pPr>
      <w:r>
        <w:rPr>
          <w:rFonts w:ascii="宋体" w:cs="宋体" w:eastAsia="宋体" w:hAnsi="宋体"/>
          <w:sz w:val="27"/>
          <w:szCs w:val="27"/>
          <w:color w:val="auto"/>
        </w:rPr>
        <w:t>- 20 -</w:t>
      </w:r>
    </w:p>
    <w:p>
      <w:pPr>
        <w:sectPr>
          <w:pgSz w:w="11900" w:h="16838" w:orient="portrait"/>
          <w:cols w:equalWidth="0" w:num="1">
            <w:col w:w="9026"/>
          </w:cols>
          <w:pgMar w:left="1440" w:top="1440" w:right="1440" w:bottom="500" w:gutter="0" w:footer="0" w:header="0"/>
          <w:type w:val="continuous"/>
        </w:sectPr>
      </w:pPr>
    </w:p>
    <w:bookmarkStart w:id="22" w:name="page23"/>
    <w:bookmarkEnd w:id="22"/>
    <w:p>
      <w:pPr>
        <w:spacing w:after="0" w:line="177" w:lineRule="exact"/>
        <w:rPr>
          <w:sz w:val="20"/>
          <w:szCs w:val="20"/>
          <w:color w:val="auto"/>
        </w:rPr>
      </w:pPr>
    </w:p>
    <w:p>
      <w:pPr>
        <w:jc w:val="both"/>
        <w:ind w:left="360" w:right="366"/>
        <w:spacing w:after="0" w:line="478" w:lineRule="exact"/>
        <w:rPr>
          <w:sz w:val="20"/>
          <w:szCs w:val="20"/>
          <w:color w:val="auto"/>
        </w:rPr>
      </w:pPr>
      <w:r>
        <w:rPr>
          <w:rFonts w:ascii="宋体" w:cs="宋体" w:eastAsia="宋体" w:hAnsi="宋体"/>
          <w:sz w:val="32"/>
          <w:szCs w:val="32"/>
          <w:color w:val="auto"/>
        </w:rPr>
        <w:t>信用分级分类监管、信用惠民便企应用、信用大数据开发利用等重点工作，加强与社会机构合作，积极开展信用建设和信用监管试点示范，形成可复制、可推广的经验。</w:t>
      </w:r>
    </w:p>
    <w:p>
      <w:pPr>
        <w:spacing w:after="0" w:line="247" w:lineRule="exact"/>
        <w:rPr>
          <w:sz w:val="20"/>
          <w:szCs w:val="20"/>
          <w:color w:val="auto"/>
        </w:rPr>
      </w:pPr>
    </w:p>
    <w:p>
      <w:pPr>
        <w:ind w:left="360" w:right="206" w:firstLine="641"/>
        <w:spacing w:after="0" w:line="499" w:lineRule="exact"/>
        <w:rPr>
          <w:sz w:val="20"/>
          <w:szCs w:val="20"/>
          <w:color w:val="auto"/>
        </w:rPr>
      </w:pPr>
      <w:r>
        <w:rPr>
          <w:rFonts w:ascii="宋体" w:cs="宋体" w:eastAsia="宋体" w:hAnsi="宋体"/>
          <w:sz w:val="32"/>
          <w:szCs w:val="32"/>
          <w:color w:val="auto"/>
        </w:rPr>
        <w:t>（三）加强法治保障。加快推动《北京市社会信用条例》立法工作，完善信息安全保障体系。严格落实保护国家经济安全、信息安全，以及保护企业商业秘密、个人隐私方面的法律法规和管理制度。</w:t>
      </w:r>
    </w:p>
    <w:p>
      <w:pPr>
        <w:spacing w:after="0" w:line="244" w:lineRule="exact"/>
        <w:rPr>
          <w:sz w:val="20"/>
          <w:szCs w:val="20"/>
          <w:color w:val="auto"/>
        </w:rPr>
      </w:pPr>
    </w:p>
    <w:p>
      <w:pPr>
        <w:jc w:val="both"/>
        <w:ind w:left="360" w:right="366" w:firstLine="641"/>
        <w:spacing w:after="0" w:line="532" w:lineRule="exact"/>
        <w:rPr>
          <w:sz w:val="20"/>
          <w:szCs w:val="20"/>
          <w:color w:val="auto"/>
        </w:rPr>
      </w:pPr>
      <w:r>
        <w:rPr>
          <w:rFonts w:ascii="宋体" w:cs="宋体" w:eastAsia="宋体" w:hAnsi="宋体"/>
          <w:sz w:val="32"/>
          <w:szCs w:val="32"/>
          <w:color w:val="auto"/>
        </w:rPr>
        <w:t>（四）做好宣传解读。各区、各部门要通过多种渠道和形式，深入细致向市场主体做好政策宣传解读工作。要加强对基层和一线监管人员的指导和培训，加强对重点职业人群的诚信教育，深化校园诚信教育。组织媒体积极宣传信用监管措施及成效，营造良好社会氛围。附件：加快推进北京市社会信用体系建设构建以信用为基础的新型监管机制三年行动计划（</w:t>
      </w:r>
      <w:r>
        <w:rPr>
          <w:rFonts w:ascii="Calibri" w:cs="Calibri" w:eastAsia="Calibri" w:hAnsi="Calibri"/>
          <w:sz w:val="32"/>
          <w:szCs w:val="32"/>
          <w:color w:val="auto"/>
        </w:rPr>
        <w:t xml:space="preserve">2020-2022 </w:t>
      </w:r>
      <w:r>
        <w:rPr>
          <w:rFonts w:ascii="宋体" w:cs="宋体" w:eastAsia="宋体" w:hAnsi="宋体"/>
          <w:sz w:val="32"/>
          <w:szCs w:val="32"/>
          <w:color w:val="auto"/>
        </w:rPr>
        <w:t>年）重点任务分工。</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ind w:left="4380"/>
        <w:spacing w:after="0" w:line="308" w:lineRule="exact"/>
        <w:rPr>
          <w:sz w:val="20"/>
          <w:szCs w:val="20"/>
          <w:color w:val="auto"/>
        </w:rPr>
      </w:pPr>
      <w:r>
        <w:rPr>
          <w:rFonts w:ascii="宋体" w:cs="宋体" w:eastAsia="宋体" w:hAnsi="宋体"/>
          <w:sz w:val="27"/>
          <w:szCs w:val="27"/>
          <w:color w:val="auto"/>
        </w:rPr>
        <w:t>- 21 -</w:t>
      </w:r>
    </w:p>
    <w:p>
      <w:pPr>
        <w:sectPr>
          <w:pgSz w:w="11900" w:h="16838" w:orient="portrait"/>
          <w:cols w:equalWidth="0" w:num="1">
            <w:col w:w="9026"/>
          </w:cols>
          <w:pgMar w:left="1440" w:top="1440" w:right="1440" w:bottom="500" w:gutter="0" w:footer="0" w:header="0"/>
          <w:type w:val="continuous"/>
        </w:sectPr>
      </w:pPr>
    </w:p>
    <w:bookmarkStart w:id="23" w:name="page24"/>
    <w:bookmarkEnd w:id="23"/>
    <w:p>
      <w:pPr>
        <w:spacing w:after="0" w:line="162" w:lineRule="exact"/>
        <w:rPr>
          <w:sz w:val="20"/>
          <w:szCs w:val="20"/>
          <w:color w:val="auto"/>
        </w:rPr>
      </w:pPr>
    </w:p>
    <w:p>
      <w:pPr>
        <w:ind w:left="1660"/>
        <w:spacing w:after="0" w:line="502" w:lineRule="exact"/>
        <w:rPr>
          <w:sz w:val="20"/>
          <w:szCs w:val="20"/>
          <w:color w:val="auto"/>
        </w:rPr>
      </w:pPr>
      <w:r>
        <w:rPr>
          <w:rFonts w:ascii="宋体" w:cs="宋体" w:eastAsia="宋体" w:hAnsi="宋体"/>
          <w:sz w:val="44"/>
          <w:szCs w:val="44"/>
          <w:color w:val="auto"/>
        </w:rPr>
        <w:t>北京市优化营商环境条例（节选）</w:t>
      </w:r>
    </w:p>
    <w:p>
      <w:pPr>
        <w:spacing w:after="0" w:line="200" w:lineRule="exact"/>
        <w:rPr>
          <w:sz w:val="20"/>
          <w:szCs w:val="20"/>
          <w:color w:val="auto"/>
        </w:rPr>
      </w:pPr>
    </w:p>
    <w:p>
      <w:pPr>
        <w:spacing w:after="0" w:line="343" w:lineRule="exact"/>
        <w:rPr>
          <w:sz w:val="20"/>
          <w:szCs w:val="20"/>
          <w:color w:val="auto"/>
        </w:rPr>
      </w:pPr>
    </w:p>
    <w:p>
      <w:pPr>
        <w:jc w:val="both"/>
        <w:ind w:left="360" w:right="366" w:firstLine="641"/>
        <w:spacing w:after="0" w:line="512" w:lineRule="exact"/>
        <w:rPr>
          <w:sz w:val="20"/>
          <w:szCs w:val="20"/>
          <w:color w:val="auto"/>
        </w:rPr>
      </w:pPr>
      <w:r>
        <w:rPr>
          <w:rFonts w:ascii="宋体" w:cs="宋体" w:eastAsia="宋体" w:hAnsi="宋体"/>
          <w:sz w:val="32"/>
          <w:szCs w:val="32"/>
          <w:color w:val="auto"/>
        </w:rPr>
        <w:t>第五十三条 本市推行以信用为基础的分级分类监管制度。市有关政府部门以公共信用信息评价结果等为依据，制定本行业、本领域信用分级分类监管标准。信用较好、风险较低的市场主体，应当减少检查比例和频次；违法失信、风险较高的市场主体，应当提高检查比例和频次。</w:t>
      </w:r>
    </w:p>
    <w:p>
      <w:pPr>
        <w:spacing w:after="0" w:line="243" w:lineRule="exact"/>
        <w:rPr>
          <w:sz w:val="20"/>
          <w:szCs w:val="20"/>
          <w:color w:val="auto"/>
        </w:rPr>
      </w:pPr>
    </w:p>
    <w:p>
      <w:pPr>
        <w:jc w:val="both"/>
        <w:ind w:left="360" w:right="346" w:firstLine="641"/>
        <w:spacing w:after="0" w:line="519" w:lineRule="exact"/>
        <w:rPr>
          <w:sz w:val="20"/>
          <w:szCs w:val="20"/>
          <w:color w:val="auto"/>
        </w:rPr>
      </w:pPr>
      <w:r>
        <w:rPr>
          <w:rFonts w:ascii="宋体" w:cs="宋体" w:eastAsia="宋体" w:hAnsi="宋体"/>
          <w:sz w:val="32"/>
          <w:szCs w:val="32"/>
          <w:color w:val="auto"/>
        </w:rPr>
        <w:t>第五十四条 市经济和信息化部门建立健全市场主体信用修复制度，明确失信的市场主体可以采取作出信用承诺、完成信用整改、通过信用核查、接受专题培训、提交信用报告、参加公益慈善活动等方式开展信用修复；对于完成信用修复的市场主体，有关政府部门应当及时停止公示其失信信息。</w:t>
      </w:r>
    </w:p>
    <w:p>
      <w:pPr>
        <w:spacing w:after="0" w:line="248" w:lineRule="exact"/>
        <w:rPr>
          <w:sz w:val="20"/>
          <w:szCs w:val="20"/>
          <w:color w:val="auto"/>
        </w:rPr>
      </w:pPr>
    </w:p>
    <w:p>
      <w:pPr>
        <w:jc w:val="both"/>
        <w:ind w:left="360" w:right="346" w:firstLine="641"/>
        <w:spacing w:after="0" w:line="538" w:lineRule="exact"/>
        <w:rPr>
          <w:sz w:val="20"/>
          <w:szCs w:val="20"/>
          <w:color w:val="auto"/>
        </w:rPr>
      </w:pPr>
      <w:r>
        <w:rPr>
          <w:rFonts w:ascii="宋体" w:cs="宋体" w:eastAsia="宋体" w:hAnsi="宋体"/>
          <w:sz w:val="31"/>
          <w:szCs w:val="31"/>
          <w:color w:val="auto"/>
        </w:rPr>
        <w:t>第六十三条 市有关政府部门应当根据市场主体违法行为造成后果的严重程度，将本部门应当实施行政处罚的行为区分为一般违法行为和严重违法行为，制定相应目录及其公示期限，并向社会公布。对于一般违法行为，行政处罚信息的最短公示期为三个月，最长为一年；对于严重违法行为，行政处罚信息的最短公示期为一年，最长为三年。公示期届满的行政处罚信息不再公示，未履行行政处罚决定的除外；市场主体发现行政处罚信息不应当公示的，有权要求相关公示主体更正。在规定期限内履行行政处罚决定、主动消除或者减轻违法行为危害后果的，经市场主体申请，有关政府部门可以视情将公示期相应缩短三至十二个月。</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45" w:lineRule="exact"/>
        <w:rPr>
          <w:sz w:val="20"/>
          <w:szCs w:val="20"/>
          <w:color w:val="auto"/>
        </w:rPr>
      </w:pPr>
    </w:p>
    <w:p>
      <w:pPr>
        <w:ind w:left="4380"/>
        <w:spacing w:after="0" w:line="308" w:lineRule="exact"/>
        <w:rPr>
          <w:sz w:val="20"/>
          <w:szCs w:val="20"/>
          <w:color w:val="auto"/>
        </w:rPr>
      </w:pPr>
      <w:r>
        <w:rPr>
          <w:rFonts w:ascii="宋体" w:cs="宋体" w:eastAsia="宋体" w:hAnsi="宋体"/>
          <w:sz w:val="27"/>
          <w:szCs w:val="27"/>
          <w:color w:val="auto"/>
        </w:rPr>
        <w:t>- 22 -</w:t>
      </w:r>
    </w:p>
    <w:p>
      <w:pPr>
        <w:sectPr>
          <w:pgSz w:w="11900" w:h="16838" w:orient="portrait"/>
          <w:cols w:equalWidth="0" w:num="1">
            <w:col w:w="9026"/>
          </w:cols>
          <w:pgMar w:left="1440" w:top="1440" w:right="1440" w:bottom="500" w:gutter="0" w:footer="0" w:header="0"/>
          <w:type w:val="continuous"/>
        </w:sectPr>
      </w:pPr>
    </w:p>
    <w:bookmarkStart w:id="24" w:name="page25"/>
    <w:bookmarkEnd w:id="24"/>
    <w:p>
      <w:pPr>
        <w:spacing w:after="0" w:line="162" w:lineRule="exact"/>
        <w:rPr>
          <w:sz w:val="20"/>
          <w:szCs w:val="20"/>
          <w:color w:val="auto"/>
        </w:rPr>
      </w:pPr>
    </w:p>
    <w:p>
      <w:pPr>
        <w:ind w:left="2760" w:right="546" w:hanging="1319"/>
        <w:spacing w:after="0" w:line="611" w:lineRule="exact"/>
        <w:rPr>
          <w:sz w:val="20"/>
          <w:szCs w:val="20"/>
          <w:color w:val="auto"/>
        </w:rPr>
      </w:pPr>
      <w:r>
        <w:rPr>
          <w:rFonts w:ascii="宋体" w:cs="宋体" w:eastAsia="宋体" w:hAnsi="宋体"/>
          <w:sz w:val="44"/>
          <w:szCs w:val="44"/>
          <w:color w:val="auto"/>
        </w:rPr>
        <w:t>北京市进一步优化营商环境更好服务市场主体实施方案</w:t>
      </w:r>
    </w:p>
    <w:p>
      <w:pPr>
        <w:spacing w:after="0" w:line="200" w:lineRule="exact"/>
        <w:rPr>
          <w:sz w:val="20"/>
          <w:szCs w:val="20"/>
          <w:color w:val="auto"/>
        </w:rPr>
      </w:pPr>
    </w:p>
    <w:p>
      <w:pPr>
        <w:spacing w:after="0" w:line="282" w:lineRule="exact"/>
        <w:rPr>
          <w:sz w:val="20"/>
          <w:szCs w:val="20"/>
          <w:color w:val="auto"/>
        </w:rPr>
      </w:pPr>
    </w:p>
    <w:p>
      <w:pPr>
        <w:jc w:val="center"/>
        <w:ind w:right="-633"/>
        <w:spacing w:after="0" w:line="366" w:lineRule="exact"/>
        <w:rPr>
          <w:sz w:val="20"/>
          <w:szCs w:val="20"/>
          <w:color w:val="auto"/>
        </w:rPr>
      </w:pPr>
      <w:r>
        <w:rPr>
          <w:rFonts w:ascii="宋体" w:cs="宋体" w:eastAsia="宋体" w:hAnsi="宋体"/>
          <w:sz w:val="32"/>
          <w:szCs w:val="32"/>
          <w:color w:val="auto"/>
        </w:rPr>
        <w:t>京政办发</w:t>
      </w:r>
      <w:r>
        <w:rPr>
          <w:rFonts w:ascii="仿宋" w:cs="仿宋" w:eastAsia="仿宋" w:hAnsi="仿宋"/>
          <w:sz w:val="32"/>
          <w:szCs w:val="32"/>
          <w:color w:val="auto"/>
        </w:rPr>
        <w:t>〔2020〕26</w:t>
      </w:r>
      <w:r>
        <w:rPr>
          <w:rFonts w:ascii="宋体" w:cs="宋体" w:eastAsia="宋体" w:hAnsi="宋体"/>
          <w:sz w:val="32"/>
          <w:szCs w:val="32"/>
          <w:color w:val="auto"/>
        </w:rPr>
        <w:t xml:space="preserve"> 号</w:t>
      </w:r>
    </w:p>
    <w:p>
      <w:pPr>
        <w:spacing w:after="0" w:line="237" w:lineRule="exact"/>
        <w:rPr>
          <w:sz w:val="20"/>
          <w:szCs w:val="20"/>
          <w:color w:val="auto"/>
        </w:rPr>
      </w:pPr>
    </w:p>
    <w:p>
      <w:pPr>
        <w:jc w:val="both"/>
        <w:ind w:left="360" w:right="366" w:firstLine="641"/>
        <w:spacing w:after="0" w:line="510" w:lineRule="exact"/>
        <w:rPr>
          <w:sz w:val="20"/>
          <w:szCs w:val="20"/>
          <w:color w:val="auto"/>
        </w:rPr>
      </w:pPr>
      <w:r>
        <w:rPr>
          <w:rFonts w:ascii="宋体" w:cs="宋体" w:eastAsia="宋体" w:hAnsi="宋体"/>
          <w:sz w:val="32"/>
          <w:szCs w:val="32"/>
          <w:color w:val="auto"/>
        </w:rPr>
        <w:t>按照党中央、国务院决策部署，为扎实做好</w:t>
      </w:r>
      <w:r>
        <w:rPr>
          <w:rFonts w:ascii="Arial" w:cs="Arial" w:eastAsia="Arial" w:hAnsi="Arial"/>
          <w:sz w:val="32"/>
          <w:szCs w:val="32"/>
          <w:color w:val="auto"/>
        </w:rPr>
        <w:t>“</w:t>
      </w:r>
      <w:r>
        <w:rPr>
          <w:rFonts w:ascii="宋体" w:cs="宋体" w:eastAsia="宋体" w:hAnsi="宋体"/>
          <w:sz w:val="32"/>
          <w:szCs w:val="32"/>
          <w:color w:val="auto"/>
        </w:rPr>
        <w:t>六稳</w:t>
      </w:r>
      <w:r>
        <w:rPr>
          <w:rFonts w:ascii="Arial" w:cs="Arial" w:eastAsia="Arial" w:hAnsi="Arial"/>
          <w:sz w:val="32"/>
          <w:szCs w:val="32"/>
          <w:color w:val="auto"/>
        </w:rPr>
        <w:t>”</w:t>
      </w:r>
      <w:r>
        <w:rPr>
          <w:rFonts w:ascii="宋体" w:cs="宋体" w:eastAsia="宋体" w:hAnsi="宋体"/>
          <w:sz w:val="32"/>
          <w:szCs w:val="32"/>
          <w:color w:val="auto"/>
        </w:rPr>
        <w:t>工作，全面落实</w:t>
      </w:r>
      <w:r>
        <w:rPr>
          <w:rFonts w:ascii="Arial" w:cs="Arial" w:eastAsia="Arial" w:hAnsi="Arial"/>
          <w:sz w:val="32"/>
          <w:szCs w:val="32"/>
          <w:color w:val="auto"/>
        </w:rPr>
        <w:t>“</w:t>
      </w:r>
      <w:r>
        <w:rPr>
          <w:rFonts w:ascii="宋体" w:cs="宋体" w:eastAsia="宋体" w:hAnsi="宋体"/>
          <w:sz w:val="32"/>
          <w:szCs w:val="32"/>
          <w:color w:val="auto"/>
        </w:rPr>
        <w:t>六保</w:t>
      </w:r>
      <w:r>
        <w:rPr>
          <w:rFonts w:ascii="Arial" w:cs="Arial" w:eastAsia="Arial" w:hAnsi="Arial"/>
          <w:sz w:val="32"/>
          <w:szCs w:val="32"/>
          <w:color w:val="auto"/>
        </w:rPr>
        <w:t>”</w:t>
      </w:r>
      <w:r>
        <w:rPr>
          <w:rFonts w:ascii="宋体" w:cs="宋体" w:eastAsia="宋体" w:hAnsi="宋体"/>
          <w:sz w:val="32"/>
          <w:szCs w:val="32"/>
          <w:color w:val="auto"/>
        </w:rPr>
        <w:t>任务，持续深化</w:t>
      </w:r>
      <w:r>
        <w:rPr>
          <w:rFonts w:ascii="Arial" w:cs="Arial" w:eastAsia="Arial" w:hAnsi="Arial"/>
          <w:sz w:val="32"/>
          <w:szCs w:val="32"/>
          <w:color w:val="auto"/>
        </w:rPr>
        <w:t>“</w:t>
      </w:r>
      <w:r>
        <w:rPr>
          <w:rFonts w:ascii="宋体" w:cs="宋体" w:eastAsia="宋体" w:hAnsi="宋体"/>
          <w:sz w:val="32"/>
          <w:szCs w:val="32"/>
          <w:color w:val="auto"/>
        </w:rPr>
        <w:t>放管服</w:t>
      </w:r>
      <w:r>
        <w:rPr>
          <w:rFonts w:ascii="Arial" w:cs="Arial" w:eastAsia="Arial" w:hAnsi="Arial"/>
          <w:sz w:val="32"/>
          <w:szCs w:val="32"/>
          <w:color w:val="auto"/>
        </w:rPr>
        <w:t>”</w:t>
      </w:r>
      <w:r>
        <w:rPr>
          <w:rFonts w:ascii="宋体" w:cs="宋体" w:eastAsia="宋体" w:hAnsi="宋体"/>
          <w:sz w:val="32"/>
          <w:szCs w:val="32"/>
          <w:color w:val="auto"/>
        </w:rPr>
        <w:t>改革，加快打造市场化法治化国际化营商环境，更大激发市场主体活力，增强发展内生动力，为首都经济高质量发展持续注入新动能，制定本实施方案。</w:t>
      </w:r>
    </w:p>
    <w:p>
      <w:pPr>
        <w:spacing w:after="0" w:line="201"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一、主要目标</w:t>
      </w:r>
    </w:p>
    <w:p>
      <w:pPr>
        <w:spacing w:after="0" w:line="245" w:lineRule="exact"/>
        <w:rPr>
          <w:sz w:val="20"/>
          <w:szCs w:val="20"/>
          <w:color w:val="auto"/>
        </w:rPr>
      </w:pPr>
    </w:p>
    <w:p>
      <w:pPr>
        <w:jc w:val="both"/>
        <w:ind w:left="360" w:right="346" w:firstLine="641"/>
        <w:spacing w:after="0" w:line="529" w:lineRule="exact"/>
        <w:rPr>
          <w:sz w:val="20"/>
          <w:szCs w:val="20"/>
          <w:color w:val="auto"/>
        </w:rPr>
      </w:pPr>
      <w:r>
        <w:rPr>
          <w:rFonts w:ascii="宋体" w:cs="宋体" w:eastAsia="宋体" w:hAnsi="宋体"/>
          <w:sz w:val="32"/>
          <w:szCs w:val="32"/>
          <w:color w:val="auto"/>
        </w:rPr>
        <w:t>以建设国家服务业扩大开放综合示范区和中国（北京）自由贸易试验区（以下简称自贸区）为契机，以建设国家营商环境创新试点城市为抓手，进一步聚焦市场主体关切，以坚决清除隐性壁垒、优化再造审批流程、加强事中事后监管和加快数字政府建设为重点，有效推进重点领域、关键环节和突出问题改革，认真落实纾困惠企政策，着力打通政策落地</w:t>
      </w:r>
      <w:r>
        <w:rPr>
          <w:rFonts w:ascii="Arial" w:cs="Arial" w:eastAsia="Arial" w:hAnsi="Arial"/>
          <w:sz w:val="32"/>
          <w:szCs w:val="32"/>
          <w:color w:val="auto"/>
        </w:rPr>
        <w:t>“</w:t>
      </w:r>
      <w:r>
        <w:rPr>
          <w:rFonts w:ascii="宋体" w:cs="宋体" w:eastAsia="宋体" w:hAnsi="宋体"/>
          <w:sz w:val="32"/>
          <w:szCs w:val="32"/>
          <w:color w:val="auto"/>
        </w:rPr>
        <w:t>最后一公里</w:t>
      </w:r>
      <w:r>
        <w:rPr>
          <w:rFonts w:ascii="Arial" w:cs="Arial" w:eastAsia="Arial" w:hAnsi="Arial"/>
          <w:sz w:val="32"/>
          <w:szCs w:val="32"/>
          <w:color w:val="auto"/>
        </w:rPr>
        <w:t>”</w:t>
      </w:r>
      <w:r>
        <w:rPr>
          <w:rFonts w:ascii="宋体" w:cs="宋体" w:eastAsia="宋体" w:hAnsi="宋体"/>
          <w:sz w:val="32"/>
          <w:szCs w:val="32"/>
          <w:color w:val="auto"/>
        </w:rPr>
        <w:t>，全力打好营商环境攻坚战，打造与高质量发展相适应的国际一流营商环境。</w:t>
      </w:r>
    </w:p>
    <w:p>
      <w:pPr>
        <w:spacing w:after="0" w:line="204"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二、主要任务</w:t>
      </w:r>
    </w:p>
    <w:p>
      <w:pPr>
        <w:spacing w:after="0" w:line="197"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（一）营造更加高效的投资建设环境</w:t>
      </w:r>
    </w:p>
    <w:p>
      <w:pPr>
        <w:spacing w:after="0" w:line="242" w:lineRule="exact"/>
        <w:rPr>
          <w:sz w:val="20"/>
          <w:szCs w:val="20"/>
          <w:color w:val="auto"/>
        </w:rPr>
      </w:pPr>
    </w:p>
    <w:p>
      <w:pPr>
        <w:jc w:val="both"/>
        <w:ind w:left="360" w:right="366" w:firstLine="641"/>
        <w:spacing w:after="0" w:line="480" w:lineRule="exact"/>
        <w:rPr>
          <w:sz w:val="20"/>
          <w:szCs w:val="20"/>
          <w:color w:val="auto"/>
        </w:rPr>
      </w:pPr>
      <w:r>
        <w:rPr>
          <w:rFonts w:ascii="宋体" w:cs="宋体" w:eastAsia="宋体" w:hAnsi="宋体"/>
          <w:sz w:val="32"/>
          <w:szCs w:val="32"/>
          <w:color w:val="auto"/>
        </w:rPr>
        <w:t>坚持以告知承诺为基础，进一步深化投资审批制度改革，探索创新投资管理服务方式，按照项目风险等级实施差异化管理，优化投资建设项目审批流程。</w:t>
      </w:r>
    </w:p>
    <w:p>
      <w:pPr>
        <w:spacing w:after="0" w:line="208" w:lineRule="exact"/>
        <w:rPr>
          <w:sz w:val="20"/>
          <w:szCs w:val="20"/>
          <w:color w:val="auto"/>
        </w:rPr>
      </w:pPr>
    </w:p>
    <w:p>
      <w:pPr>
        <w:ind w:left="1000"/>
        <w:spacing w:after="0" w:line="394" w:lineRule="exact"/>
        <w:rPr>
          <w:sz w:val="20"/>
          <w:szCs w:val="20"/>
          <w:color w:val="auto"/>
        </w:rPr>
      </w:pPr>
      <w:r>
        <w:rPr>
          <w:rFonts w:ascii="Calibri" w:cs="Calibri" w:eastAsia="Calibri" w:hAnsi="Calibri"/>
          <w:sz w:val="31"/>
          <w:szCs w:val="31"/>
          <w:color w:val="auto"/>
        </w:rPr>
        <w:t>1.</w:t>
      </w:r>
      <w:r>
        <w:rPr>
          <w:rFonts w:ascii="宋体" w:cs="宋体" w:eastAsia="宋体" w:hAnsi="宋体"/>
          <w:sz w:val="31"/>
          <w:szCs w:val="31"/>
          <w:color w:val="auto"/>
        </w:rPr>
        <w:t>优化投资项目审批流程。一是以高效办成项目前期</w:t>
      </w:r>
      <w:r>
        <w:rPr>
          <w:rFonts w:ascii="Arial" w:cs="Arial" w:eastAsia="Arial" w:hAnsi="Arial"/>
          <w:sz w:val="31"/>
          <w:szCs w:val="31"/>
          <w:color w:val="auto"/>
        </w:rPr>
        <w:t>“</w:t>
      </w:r>
      <w:r>
        <w:rPr>
          <w:rFonts w:ascii="宋体" w:cs="宋体" w:eastAsia="宋体" w:hAnsi="宋体"/>
          <w:sz w:val="31"/>
          <w:szCs w:val="31"/>
          <w:color w:val="auto"/>
        </w:rPr>
        <w:t>一</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360" w:lineRule="exact"/>
        <w:rPr>
          <w:sz w:val="20"/>
          <w:szCs w:val="20"/>
          <w:color w:val="auto"/>
        </w:rPr>
      </w:pPr>
    </w:p>
    <w:p>
      <w:pPr>
        <w:ind w:left="4380"/>
        <w:spacing w:after="0" w:line="308" w:lineRule="exact"/>
        <w:rPr>
          <w:sz w:val="20"/>
          <w:szCs w:val="20"/>
          <w:color w:val="auto"/>
        </w:rPr>
      </w:pPr>
      <w:r>
        <w:rPr>
          <w:rFonts w:ascii="宋体" w:cs="宋体" w:eastAsia="宋体" w:hAnsi="宋体"/>
          <w:sz w:val="27"/>
          <w:szCs w:val="27"/>
          <w:color w:val="auto"/>
        </w:rPr>
        <w:t>- 23 -</w:t>
      </w:r>
    </w:p>
    <w:p>
      <w:pPr>
        <w:sectPr>
          <w:pgSz w:w="11900" w:h="16838" w:orient="portrait"/>
          <w:cols w:equalWidth="0" w:num="1">
            <w:col w:w="9026"/>
          </w:cols>
          <w:pgMar w:left="1440" w:top="1440" w:right="1440" w:bottom="500" w:gutter="0" w:footer="0" w:header="0"/>
          <w:type w:val="continuous"/>
        </w:sectPr>
      </w:pPr>
    </w:p>
    <w:bookmarkStart w:id="25" w:name="page26"/>
    <w:bookmarkEnd w:id="25"/>
    <w:p>
      <w:pPr>
        <w:spacing w:after="0" w:line="177" w:lineRule="exact"/>
        <w:rPr>
          <w:sz w:val="20"/>
          <w:szCs w:val="20"/>
          <w:color w:val="auto"/>
        </w:rPr>
      </w:pPr>
    </w:p>
    <w:p>
      <w:pPr>
        <w:jc w:val="both"/>
        <w:ind w:left="360" w:right="366"/>
        <w:spacing w:after="0" w:line="532" w:lineRule="exact"/>
        <w:rPr>
          <w:sz w:val="20"/>
          <w:szCs w:val="20"/>
          <w:color w:val="auto"/>
        </w:rPr>
      </w:pPr>
      <w:r>
        <w:rPr>
          <w:rFonts w:ascii="宋体" w:cs="宋体" w:eastAsia="宋体" w:hAnsi="宋体"/>
          <w:sz w:val="31"/>
          <w:szCs w:val="31"/>
          <w:color w:val="auto"/>
        </w:rPr>
        <w:t>件事</w:t>
      </w:r>
      <w:r>
        <w:rPr>
          <w:rFonts w:ascii="Arial" w:cs="Arial" w:eastAsia="Arial" w:hAnsi="Arial"/>
          <w:sz w:val="31"/>
          <w:szCs w:val="31"/>
          <w:color w:val="auto"/>
        </w:rPr>
        <w:t>”</w:t>
      </w:r>
      <w:r>
        <w:rPr>
          <w:rFonts w:ascii="宋体" w:cs="宋体" w:eastAsia="宋体" w:hAnsi="宋体"/>
          <w:sz w:val="31"/>
          <w:szCs w:val="31"/>
          <w:color w:val="auto"/>
        </w:rPr>
        <w:t>为目标，健全项目前期统筹推进机制，制定重大项目储备管理办法，进一步简化、整合投资项目报建手续，不断精简优化审批程序、审批事项、申报材料。二是深化北京经济技术开发区企业投资项目承诺制改革，规范企业承诺事项，统一告知承诺内容、流程和承诺书格式，并在中关村科学城、怀柔科学城、未来科学城、自贸区等重点区域复制推广</w:t>
      </w:r>
      <w:r>
        <w:rPr>
          <w:rFonts w:ascii="Arial" w:cs="Arial" w:eastAsia="Arial" w:hAnsi="Arial"/>
          <w:sz w:val="31"/>
          <w:szCs w:val="31"/>
          <w:color w:val="auto"/>
        </w:rPr>
        <w:t>“</w:t>
      </w:r>
      <w:r>
        <w:rPr>
          <w:rFonts w:ascii="宋体" w:cs="宋体" w:eastAsia="宋体" w:hAnsi="宋体"/>
          <w:sz w:val="31"/>
          <w:szCs w:val="31"/>
          <w:color w:val="auto"/>
        </w:rPr>
        <w:t>区域评估</w:t>
      </w:r>
      <w:r>
        <w:rPr>
          <w:rFonts w:ascii="Calibri" w:cs="Calibri" w:eastAsia="Calibri" w:hAnsi="Calibri"/>
          <w:sz w:val="31"/>
          <w:szCs w:val="31"/>
          <w:color w:val="auto"/>
        </w:rPr>
        <w:t>+</w:t>
      </w:r>
      <w:r>
        <w:rPr>
          <w:rFonts w:ascii="宋体" w:cs="宋体" w:eastAsia="宋体" w:hAnsi="宋体"/>
          <w:sz w:val="31"/>
          <w:szCs w:val="31"/>
          <w:color w:val="auto"/>
        </w:rPr>
        <w:t>标准地</w:t>
      </w:r>
      <w:r>
        <w:rPr>
          <w:rFonts w:ascii="Calibri" w:cs="Calibri" w:eastAsia="Calibri" w:hAnsi="Calibri"/>
          <w:sz w:val="31"/>
          <w:szCs w:val="31"/>
          <w:color w:val="auto"/>
        </w:rPr>
        <w:t>+</w:t>
      </w:r>
      <w:r>
        <w:rPr>
          <w:rFonts w:ascii="宋体" w:cs="宋体" w:eastAsia="宋体" w:hAnsi="宋体"/>
          <w:sz w:val="31"/>
          <w:szCs w:val="31"/>
          <w:color w:val="auto"/>
        </w:rPr>
        <w:t>承诺制</w:t>
      </w:r>
      <w:r>
        <w:rPr>
          <w:rFonts w:ascii="Calibri" w:cs="Calibri" w:eastAsia="Calibri" w:hAnsi="Calibri"/>
          <w:sz w:val="31"/>
          <w:szCs w:val="31"/>
          <w:color w:val="auto"/>
        </w:rPr>
        <w:t>+</w:t>
      </w:r>
      <w:r>
        <w:rPr>
          <w:rFonts w:ascii="宋体" w:cs="宋体" w:eastAsia="宋体" w:hAnsi="宋体"/>
          <w:sz w:val="31"/>
          <w:szCs w:val="31"/>
          <w:color w:val="auto"/>
        </w:rPr>
        <w:t>政府配套</w:t>
      </w:r>
      <w:r>
        <w:rPr>
          <w:rFonts w:ascii="Arial" w:cs="Arial" w:eastAsia="Arial" w:hAnsi="Arial"/>
          <w:sz w:val="31"/>
          <w:szCs w:val="31"/>
          <w:color w:val="auto"/>
        </w:rPr>
        <w:t>”</w:t>
      </w:r>
      <w:r>
        <w:rPr>
          <w:rFonts w:ascii="宋体" w:cs="宋体" w:eastAsia="宋体" w:hAnsi="宋体"/>
          <w:sz w:val="31"/>
          <w:szCs w:val="31"/>
          <w:color w:val="auto"/>
        </w:rPr>
        <w:t>改革经验。</w:t>
      </w:r>
    </w:p>
    <w:p>
      <w:pPr>
        <w:spacing w:after="0" w:line="161" w:lineRule="exact"/>
        <w:rPr>
          <w:sz w:val="20"/>
          <w:szCs w:val="20"/>
          <w:color w:val="auto"/>
        </w:rPr>
      </w:pPr>
    </w:p>
    <w:p>
      <w:pPr>
        <w:ind w:left="1000"/>
        <w:spacing w:after="0" w:line="406" w:lineRule="exact"/>
        <w:rPr>
          <w:sz w:val="20"/>
          <w:szCs w:val="20"/>
          <w:color w:val="auto"/>
        </w:rPr>
      </w:pPr>
      <w:r>
        <w:rPr>
          <w:rFonts w:ascii="Calibri" w:cs="Calibri" w:eastAsia="Calibri" w:hAnsi="Calibri"/>
          <w:sz w:val="32"/>
          <w:szCs w:val="32"/>
          <w:color w:val="auto"/>
        </w:rPr>
        <w:t>2.</w:t>
      </w:r>
      <w:r>
        <w:rPr>
          <w:rFonts w:ascii="宋体" w:cs="宋体" w:eastAsia="宋体" w:hAnsi="宋体"/>
          <w:sz w:val="32"/>
          <w:szCs w:val="32"/>
          <w:color w:val="auto"/>
        </w:rPr>
        <w:t>深入推进规划用地审批改革。一是加强规划用地与政</w:t>
      </w:r>
    </w:p>
    <w:p>
      <w:pPr>
        <w:spacing w:after="0" w:line="142"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府及企业投资决策的衔接，加快推进各类规划数据整合，推</w:t>
      </w:r>
    </w:p>
    <w:p>
      <w:pPr>
        <w:spacing w:after="0" w:line="197"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动各级各类规划底图叠合，实现各部门底图共享、实时查询</w:t>
      </w:r>
    </w:p>
    <w:p>
      <w:pPr>
        <w:spacing w:after="0" w:line="194"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和业务协同，为政府及企业投资决策提供便利。二是出台区</w:t>
      </w:r>
    </w:p>
    <w:p>
      <w:pPr>
        <w:spacing w:after="0" w:line="194"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域评估实施方案，明确环境、水、交通等领域评估的实施细</w:t>
      </w:r>
    </w:p>
    <w:p>
      <w:pPr>
        <w:spacing w:after="0" w:line="197"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则和技术要求，对区域内建设项目可采取直接准入、告知承</w:t>
      </w:r>
    </w:p>
    <w:p>
      <w:pPr>
        <w:spacing w:after="0" w:line="205" w:lineRule="exact"/>
        <w:rPr>
          <w:sz w:val="20"/>
          <w:szCs w:val="20"/>
          <w:color w:val="auto"/>
        </w:rPr>
      </w:pPr>
    </w:p>
    <w:p>
      <w:pPr>
        <w:ind w:left="360"/>
        <w:spacing w:after="0" w:line="406" w:lineRule="exact"/>
        <w:rPr>
          <w:sz w:val="20"/>
          <w:szCs w:val="20"/>
          <w:color w:val="auto"/>
        </w:rPr>
      </w:pPr>
      <w:r>
        <w:rPr>
          <w:rFonts w:ascii="宋体" w:cs="宋体" w:eastAsia="宋体" w:hAnsi="宋体"/>
          <w:sz w:val="32"/>
          <w:szCs w:val="32"/>
          <w:color w:val="auto"/>
        </w:rPr>
        <w:t>诺制、容缺受理等多种方式简化办理。开展</w:t>
      </w:r>
      <w:r>
        <w:rPr>
          <w:rFonts w:ascii="Arial" w:cs="Arial" w:eastAsia="Arial" w:hAnsi="Arial"/>
          <w:sz w:val="32"/>
          <w:szCs w:val="32"/>
          <w:color w:val="auto"/>
        </w:rPr>
        <w:t>“</w:t>
      </w:r>
      <w:r>
        <w:rPr>
          <w:rFonts w:ascii="宋体" w:cs="宋体" w:eastAsia="宋体" w:hAnsi="宋体"/>
          <w:sz w:val="32"/>
          <w:szCs w:val="32"/>
          <w:color w:val="auto"/>
        </w:rPr>
        <w:t>街区控规</w:t>
      </w:r>
      <w:r>
        <w:rPr>
          <w:rFonts w:ascii="Calibri" w:cs="Calibri" w:eastAsia="Calibri" w:hAnsi="Calibri"/>
          <w:sz w:val="32"/>
          <w:szCs w:val="32"/>
          <w:color w:val="auto"/>
        </w:rPr>
        <w:t>+</w:t>
      </w:r>
      <w:r>
        <w:rPr>
          <w:rFonts w:ascii="宋体" w:cs="宋体" w:eastAsia="宋体" w:hAnsi="宋体"/>
          <w:sz w:val="32"/>
          <w:szCs w:val="32"/>
          <w:color w:val="auto"/>
        </w:rPr>
        <w:t>区</w:t>
      </w:r>
    </w:p>
    <w:p>
      <w:pPr>
        <w:spacing w:after="0" w:line="119" w:lineRule="exact"/>
        <w:rPr>
          <w:sz w:val="20"/>
          <w:szCs w:val="20"/>
          <w:color w:val="auto"/>
        </w:rPr>
      </w:pPr>
    </w:p>
    <w:p>
      <w:pPr>
        <w:ind w:left="360"/>
        <w:spacing w:after="0" w:line="388" w:lineRule="exact"/>
        <w:rPr>
          <w:sz w:val="20"/>
          <w:szCs w:val="20"/>
          <w:color w:val="auto"/>
        </w:rPr>
      </w:pPr>
      <w:r>
        <w:rPr>
          <w:rFonts w:ascii="宋体" w:cs="宋体" w:eastAsia="宋体" w:hAnsi="宋体"/>
          <w:sz w:val="32"/>
          <w:szCs w:val="32"/>
          <w:color w:val="auto"/>
        </w:rPr>
        <w:t>域评估</w:t>
      </w:r>
      <w:r>
        <w:rPr>
          <w:rFonts w:ascii="Arial" w:cs="Arial" w:eastAsia="Arial" w:hAnsi="Arial"/>
          <w:sz w:val="32"/>
          <w:szCs w:val="32"/>
          <w:color w:val="auto"/>
        </w:rPr>
        <w:t>”</w:t>
      </w:r>
      <w:r>
        <w:rPr>
          <w:rFonts w:ascii="宋体" w:cs="宋体" w:eastAsia="宋体" w:hAnsi="宋体"/>
          <w:sz w:val="32"/>
          <w:szCs w:val="32"/>
          <w:color w:val="auto"/>
        </w:rPr>
        <w:t>审批改革试点，进一步简化审批程序。三是进一步</w:t>
      </w:r>
    </w:p>
    <w:p>
      <w:pPr>
        <w:spacing w:after="0" w:line="197"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下放规划审批权限，制定房屋建筑类、市政交通基础设施类</w:t>
      </w:r>
    </w:p>
    <w:p>
      <w:pPr>
        <w:spacing w:after="0" w:line="206"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项目市区两级审批权限清单，便于企业申报，减少办理时间。</w:t>
      </w:r>
    </w:p>
    <w:p>
      <w:pPr>
        <w:spacing w:after="0" w:line="208" w:lineRule="exact"/>
        <w:rPr>
          <w:sz w:val="20"/>
          <w:szCs w:val="20"/>
          <w:color w:val="auto"/>
        </w:rPr>
      </w:pPr>
    </w:p>
    <w:p>
      <w:pPr>
        <w:jc w:val="both"/>
        <w:ind w:left="360" w:right="366" w:firstLine="641"/>
        <w:spacing w:after="0" w:line="531" w:lineRule="exact"/>
        <w:rPr>
          <w:sz w:val="20"/>
          <w:szCs w:val="20"/>
          <w:color w:val="auto"/>
        </w:rPr>
      </w:pPr>
      <w:r>
        <w:rPr>
          <w:rFonts w:ascii="Calibri" w:cs="Calibri" w:eastAsia="Calibri" w:hAnsi="Calibri"/>
          <w:sz w:val="31"/>
          <w:szCs w:val="31"/>
          <w:color w:val="auto"/>
        </w:rPr>
        <w:t>3.</w:t>
      </w:r>
      <w:r>
        <w:rPr>
          <w:rFonts w:ascii="宋体" w:cs="宋体" w:eastAsia="宋体" w:hAnsi="宋体"/>
          <w:sz w:val="31"/>
          <w:szCs w:val="31"/>
          <w:color w:val="auto"/>
        </w:rPr>
        <w:t>深化工程建设审批制度改革。一是深入推进工程建设项目分级分类管理，精简规范工程建设项目全流程涉及的审批事项、技术审查和中介服务事项。二是在确保安全的前提下，对于社会投资低风险新建、改扩建项目施工许可实行告知承诺制。三是全面推进</w:t>
      </w:r>
      <w:r>
        <w:rPr>
          <w:rFonts w:ascii="Arial" w:cs="Arial" w:eastAsia="Arial" w:hAnsi="Arial"/>
          <w:sz w:val="31"/>
          <w:szCs w:val="31"/>
          <w:color w:val="auto"/>
        </w:rPr>
        <w:t>“</w:t>
      </w:r>
      <w:r>
        <w:rPr>
          <w:rFonts w:ascii="宋体" w:cs="宋体" w:eastAsia="宋体" w:hAnsi="宋体"/>
          <w:sz w:val="31"/>
          <w:szCs w:val="31"/>
          <w:color w:val="auto"/>
        </w:rPr>
        <w:t>多测合一</w:t>
      </w:r>
      <w:r>
        <w:rPr>
          <w:rFonts w:ascii="Arial" w:cs="Arial" w:eastAsia="Arial" w:hAnsi="Arial"/>
          <w:sz w:val="31"/>
          <w:szCs w:val="31"/>
          <w:color w:val="auto"/>
        </w:rPr>
        <w:t>”</w:t>
      </w:r>
      <w:r>
        <w:rPr>
          <w:rFonts w:ascii="宋体" w:cs="宋体" w:eastAsia="宋体" w:hAnsi="宋体"/>
          <w:sz w:val="31"/>
          <w:szCs w:val="31"/>
          <w:color w:val="auto"/>
        </w:rPr>
        <w:t>，优化整合用地、规划、施工、验收、不动产登记等阶段测绘事项，对同一标的物的测绘成果有关部门共享互认，减少对企业测绘次数。四</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ind w:left="4380"/>
        <w:spacing w:after="0" w:line="308" w:lineRule="exact"/>
        <w:rPr>
          <w:sz w:val="20"/>
          <w:szCs w:val="20"/>
          <w:color w:val="auto"/>
        </w:rPr>
      </w:pPr>
      <w:r>
        <w:rPr>
          <w:rFonts w:ascii="宋体" w:cs="宋体" w:eastAsia="宋体" w:hAnsi="宋体"/>
          <w:sz w:val="27"/>
          <w:szCs w:val="27"/>
          <w:color w:val="auto"/>
        </w:rPr>
        <w:t>- 24 -</w:t>
      </w:r>
    </w:p>
    <w:p>
      <w:pPr>
        <w:sectPr>
          <w:pgSz w:w="11900" w:h="16838" w:orient="portrait"/>
          <w:cols w:equalWidth="0" w:num="1">
            <w:col w:w="9026"/>
          </w:cols>
          <w:pgMar w:left="1440" w:top="1440" w:right="1440" w:bottom="500" w:gutter="0" w:footer="0" w:header="0"/>
          <w:type w:val="continuous"/>
        </w:sectPr>
      </w:pPr>
    </w:p>
    <w:bookmarkStart w:id="26" w:name="page27"/>
    <w:bookmarkEnd w:id="26"/>
    <w:p>
      <w:pPr>
        <w:spacing w:after="0" w:line="177" w:lineRule="exact"/>
        <w:rPr>
          <w:sz w:val="20"/>
          <w:szCs w:val="20"/>
          <w:color w:val="auto"/>
        </w:rPr>
      </w:pPr>
    </w:p>
    <w:p>
      <w:pPr>
        <w:ind w:left="360" w:right="206"/>
        <w:spacing w:after="0" w:line="535" w:lineRule="exact"/>
        <w:rPr>
          <w:sz w:val="20"/>
          <w:szCs w:val="20"/>
          <w:color w:val="auto"/>
        </w:rPr>
      </w:pPr>
      <w:r>
        <w:rPr>
          <w:rFonts w:ascii="宋体" w:cs="宋体" w:eastAsia="宋体" w:hAnsi="宋体"/>
          <w:sz w:val="32"/>
          <w:szCs w:val="32"/>
          <w:color w:val="auto"/>
        </w:rPr>
        <w:t>是出台建筑师负责制指导意见，针对民用建筑和低风险工业建筑项目试点推行免除施工图设计审查、规划验线、施工放线复验等手续。五是公开地质灾害易发区分布图、各区域地质条件与地质灾害防治要求等信息，为企业自主开展初步勘察设计提供便利。六是搭建本市工程质量风险分级管控平台，根据风险等级确定质量安全监督检查频次和内容，低风险项目只进行</w:t>
      </w:r>
      <w:r>
        <w:rPr>
          <w:rFonts w:ascii="Calibri" w:cs="Calibri" w:eastAsia="Calibri" w:hAnsi="Calibri"/>
          <w:sz w:val="32"/>
          <w:szCs w:val="32"/>
          <w:color w:val="auto"/>
        </w:rPr>
        <w:t xml:space="preserve"> 1 </w:t>
      </w:r>
      <w:r>
        <w:rPr>
          <w:rFonts w:ascii="宋体" w:cs="宋体" w:eastAsia="宋体" w:hAnsi="宋体"/>
          <w:sz w:val="32"/>
          <w:szCs w:val="32"/>
          <w:color w:val="auto"/>
        </w:rPr>
        <w:t>次检查。七是深化工程竣工验收</w:t>
      </w:r>
      <w:r>
        <w:rPr>
          <w:rFonts w:ascii="Arial" w:cs="Arial" w:eastAsia="Arial" w:hAnsi="Arial"/>
          <w:sz w:val="32"/>
          <w:szCs w:val="32"/>
          <w:color w:val="auto"/>
        </w:rPr>
        <w:t>“</w:t>
      </w:r>
      <w:r>
        <w:rPr>
          <w:rFonts w:ascii="宋体" w:cs="宋体" w:eastAsia="宋体" w:hAnsi="宋体"/>
          <w:sz w:val="32"/>
          <w:szCs w:val="32"/>
          <w:color w:val="auto"/>
        </w:rPr>
        <w:t>多验合一</w:t>
      </w:r>
      <w:r>
        <w:rPr>
          <w:rFonts w:ascii="Arial" w:cs="Arial" w:eastAsia="Arial" w:hAnsi="Arial"/>
          <w:sz w:val="32"/>
          <w:szCs w:val="32"/>
          <w:color w:val="auto"/>
        </w:rPr>
        <w:t>”</w:t>
      </w:r>
      <w:r>
        <w:rPr>
          <w:rFonts w:ascii="宋体" w:cs="宋体" w:eastAsia="宋体" w:hAnsi="宋体"/>
          <w:sz w:val="32"/>
          <w:szCs w:val="32"/>
          <w:color w:val="auto"/>
        </w:rPr>
        <w:t>改革，建立工程竣工联合验收服务平台，优化联合竣工验收流程。推行低风险项目不动产登记和联合验收合并办理，进一步压减首次登记时限。</w:t>
      </w:r>
    </w:p>
    <w:p>
      <w:pPr>
        <w:spacing w:after="0" w:line="216" w:lineRule="exact"/>
        <w:rPr>
          <w:sz w:val="20"/>
          <w:szCs w:val="20"/>
          <w:color w:val="auto"/>
        </w:rPr>
      </w:pPr>
    </w:p>
    <w:p>
      <w:pPr>
        <w:jc w:val="both"/>
        <w:ind w:left="360" w:right="346" w:firstLine="641"/>
        <w:spacing w:after="0" w:line="544" w:lineRule="exact"/>
        <w:rPr>
          <w:sz w:val="20"/>
          <w:szCs w:val="20"/>
          <w:color w:val="auto"/>
        </w:rPr>
      </w:pPr>
      <w:r>
        <w:rPr>
          <w:rFonts w:ascii="Calibri" w:cs="Calibri" w:eastAsia="Calibri" w:hAnsi="Calibri"/>
          <w:sz w:val="32"/>
          <w:szCs w:val="32"/>
          <w:color w:val="auto"/>
        </w:rPr>
        <w:t>4.</w:t>
      </w:r>
      <w:r>
        <w:rPr>
          <w:rFonts w:ascii="宋体" w:cs="宋体" w:eastAsia="宋体" w:hAnsi="宋体"/>
          <w:sz w:val="32"/>
          <w:szCs w:val="32"/>
          <w:color w:val="auto"/>
        </w:rPr>
        <w:t>全面提升市政服务水平。一是明确工程建设项目水、电、气、热、通信、有线电视等市政接入标准，简化市政接入审批流程，降低接入成本。二是深化市政设施接入审批改革，对涉及的工程规划许可、绿化许可、占道施工许可等环节实行并联审批，探索实行接入告知承诺制；取消水、电、气、热、通信、有线电视等市政接入报装过程中的附加审批要件和手续。三是研究推进市政</w:t>
      </w:r>
      <w:r>
        <w:rPr>
          <w:rFonts w:ascii="Arial" w:cs="Arial" w:eastAsia="Arial" w:hAnsi="Arial"/>
          <w:sz w:val="32"/>
          <w:szCs w:val="32"/>
          <w:color w:val="auto"/>
        </w:rPr>
        <w:t>“</w:t>
      </w:r>
      <w:r>
        <w:rPr>
          <w:rFonts w:ascii="宋体" w:cs="宋体" w:eastAsia="宋体" w:hAnsi="宋体"/>
          <w:sz w:val="32"/>
          <w:szCs w:val="32"/>
          <w:color w:val="auto"/>
        </w:rPr>
        <w:t>一站式</w:t>
      </w:r>
      <w:r>
        <w:rPr>
          <w:rFonts w:ascii="Arial" w:cs="Arial" w:eastAsia="Arial" w:hAnsi="Arial"/>
          <w:sz w:val="32"/>
          <w:szCs w:val="32"/>
          <w:color w:val="auto"/>
        </w:rPr>
        <w:t>”</w:t>
      </w:r>
      <w:r>
        <w:rPr>
          <w:rFonts w:ascii="宋体" w:cs="宋体" w:eastAsia="宋体" w:hAnsi="宋体"/>
          <w:sz w:val="32"/>
          <w:szCs w:val="32"/>
          <w:color w:val="auto"/>
        </w:rPr>
        <w:t>全程便捷服务，加快实现报装、查询、缴费等业务</w:t>
      </w:r>
      <w:r>
        <w:rPr>
          <w:rFonts w:ascii="Arial" w:cs="Arial" w:eastAsia="Arial" w:hAnsi="Arial"/>
          <w:sz w:val="32"/>
          <w:szCs w:val="32"/>
          <w:color w:val="auto"/>
        </w:rPr>
        <w:t>“</w:t>
      </w:r>
      <w:r>
        <w:rPr>
          <w:rFonts w:ascii="宋体" w:cs="宋体" w:eastAsia="宋体" w:hAnsi="宋体"/>
          <w:sz w:val="32"/>
          <w:szCs w:val="32"/>
          <w:color w:val="auto"/>
        </w:rPr>
        <w:t>全程网办</w:t>
      </w:r>
      <w:r>
        <w:rPr>
          <w:rFonts w:ascii="Arial" w:cs="Arial" w:eastAsia="Arial" w:hAnsi="Arial"/>
          <w:sz w:val="32"/>
          <w:szCs w:val="32"/>
          <w:color w:val="auto"/>
        </w:rPr>
        <w:t>”</w:t>
      </w:r>
      <w:r>
        <w:rPr>
          <w:rFonts w:ascii="宋体" w:cs="宋体" w:eastAsia="宋体" w:hAnsi="宋体"/>
          <w:sz w:val="32"/>
          <w:szCs w:val="32"/>
          <w:color w:val="auto"/>
        </w:rPr>
        <w:t>，申请人仅在线提供规划许可证、产权证、身份证件等信息即可办理市政接入业务。四是落实市政接入项目</w:t>
      </w:r>
      <w:r>
        <w:rPr>
          <w:rFonts w:ascii="Arial" w:cs="Arial" w:eastAsia="Arial" w:hAnsi="Arial"/>
          <w:sz w:val="32"/>
          <w:szCs w:val="32"/>
          <w:color w:val="auto"/>
        </w:rPr>
        <w:t>“</w:t>
      </w:r>
      <w:r>
        <w:rPr>
          <w:rFonts w:ascii="宋体" w:cs="宋体" w:eastAsia="宋体" w:hAnsi="宋体"/>
          <w:sz w:val="32"/>
          <w:szCs w:val="32"/>
          <w:color w:val="auto"/>
        </w:rPr>
        <w:t>非禁免批</w:t>
      </w:r>
      <w:r>
        <w:rPr>
          <w:rFonts w:ascii="Arial" w:cs="Arial" w:eastAsia="Arial" w:hAnsi="Arial"/>
          <w:sz w:val="32"/>
          <w:szCs w:val="32"/>
          <w:color w:val="auto"/>
        </w:rPr>
        <w:t>”</w:t>
      </w:r>
      <w:r>
        <w:rPr>
          <w:rFonts w:ascii="宋体" w:cs="宋体" w:eastAsia="宋体" w:hAnsi="宋体"/>
          <w:sz w:val="32"/>
          <w:szCs w:val="32"/>
          <w:color w:val="auto"/>
        </w:rPr>
        <w:t>改革，进一步细化公开禁止区域范围，针对</w:t>
      </w:r>
      <w:r>
        <w:rPr>
          <w:rFonts w:ascii="Calibri" w:cs="Calibri" w:eastAsia="Calibri" w:hAnsi="Calibri"/>
          <w:sz w:val="32"/>
          <w:szCs w:val="32"/>
          <w:color w:val="auto"/>
        </w:rPr>
        <w:t xml:space="preserve"> 5G </w:t>
      </w:r>
      <w:r>
        <w:rPr>
          <w:rFonts w:ascii="宋体" w:cs="宋体" w:eastAsia="宋体" w:hAnsi="宋体"/>
          <w:sz w:val="32"/>
          <w:szCs w:val="32"/>
          <w:color w:val="auto"/>
        </w:rPr>
        <w:t>基站接电项目在禁止区域外免除占掘路审批。五是对符合条件的充换电设施接入外电源实行免费制，降低高压接电成本。</w:t>
      </w:r>
    </w:p>
    <w:p>
      <w:pPr>
        <w:spacing w:after="0" w:line="210" w:lineRule="exact"/>
        <w:rPr>
          <w:sz w:val="20"/>
          <w:szCs w:val="20"/>
          <w:color w:val="auto"/>
        </w:rPr>
      </w:pPr>
    </w:p>
    <w:p>
      <w:pPr>
        <w:ind w:left="1000"/>
        <w:spacing w:after="0" w:line="406" w:lineRule="exact"/>
        <w:rPr>
          <w:sz w:val="20"/>
          <w:szCs w:val="20"/>
          <w:color w:val="auto"/>
        </w:rPr>
      </w:pPr>
      <w:r>
        <w:rPr>
          <w:rFonts w:ascii="Calibri" w:cs="Calibri" w:eastAsia="Calibri" w:hAnsi="Calibri"/>
          <w:sz w:val="32"/>
          <w:szCs w:val="32"/>
          <w:color w:val="auto"/>
        </w:rPr>
        <w:t>5.</w:t>
      </w:r>
      <w:r>
        <w:rPr>
          <w:rFonts w:ascii="宋体" w:cs="宋体" w:eastAsia="宋体" w:hAnsi="宋体"/>
          <w:sz w:val="32"/>
          <w:szCs w:val="32"/>
          <w:color w:val="auto"/>
        </w:rPr>
        <w:t>加快推动工程建设项目全流程在线审批。一是完善工</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ind w:left="4380"/>
        <w:spacing w:after="0" w:line="308" w:lineRule="exact"/>
        <w:rPr>
          <w:sz w:val="20"/>
          <w:szCs w:val="20"/>
          <w:color w:val="auto"/>
        </w:rPr>
      </w:pPr>
      <w:r>
        <w:rPr>
          <w:rFonts w:ascii="宋体" w:cs="宋体" w:eastAsia="宋体" w:hAnsi="宋体"/>
          <w:sz w:val="27"/>
          <w:szCs w:val="27"/>
          <w:color w:val="auto"/>
        </w:rPr>
        <w:t>- 25 -</w:t>
      </w:r>
    </w:p>
    <w:p>
      <w:pPr>
        <w:sectPr>
          <w:pgSz w:w="11900" w:h="16838" w:orient="portrait"/>
          <w:cols w:equalWidth="0" w:num="1">
            <w:col w:w="9026"/>
          </w:cols>
          <w:pgMar w:left="1440" w:top="1440" w:right="1440" w:bottom="500" w:gutter="0" w:footer="0" w:header="0"/>
          <w:type w:val="continuous"/>
        </w:sectPr>
      </w:pPr>
    </w:p>
    <w:bookmarkStart w:id="27" w:name="page28"/>
    <w:bookmarkEnd w:id="27"/>
    <w:p>
      <w:pPr>
        <w:spacing w:after="0" w:line="177" w:lineRule="exact"/>
        <w:rPr>
          <w:sz w:val="20"/>
          <w:szCs w:val="20"/>
          <w:color w:val="auto"/>
        </w:rPr>
      </w:pPr>
    </w:p>
    <w:p>
      <w:pPr>
        <w:ind w:left="360" w:right="206"/>
        <w:spacing w:after="0" w:line="518" w:lineRule="exact"/>
        <w:rPr>
          <w:sz w:val="20"/>
          <w:szCs w:val="20"/>
          <w:color w:val="auto"/>
        </w:rPr>
      </w:pPr>
      <w:r>
        <w:rPr>
          <w:rFonts w:ascii="宋体" w:cs="宋体" w:eastAsia="宋体" w:hAnsi="宋体"/>
          <w:sz w:val="32"/>
          <w:szCs w:val="32"/>
          <w:color w:val="auto"/>
          <w:w w:val="99"/>
        </w:rPr>
        <w:t>程建设项目审批系统，推进与</w:t>
      </w:r>
      <w:r>
        <w:rPr>
          <w:rFonts w:ascii="Arial" w:cs="Arial" w:eastAsia="Arial" w:hAnsi="Arial"/>
          <w:sz w:val="32"/>
          <w:szCs w:val="32"/>
          <w:color w:val="auto"/>
          <w:w w:val="99"/>
        </w:rPr>
        <w:t>“</w:t>
      </w:r>
      <w:r>
        <w:rPr>
          <w:rFonts w:ascii="宋体" w:cs="宋体" w:eastAsia="宋体" w:hAnsi="宋体"/>
          <w:sz w:val="32"/>
          <w:szCs w:val="32"/>
          <w:color w:val="auto"/>
          <w:w w:val="99"/>
        </w:rPr>
        <w:t>多规合一</w:t>
      </w:r>
      <w:r>
        <w:rPr>
          <w:rFonts w:ascii="Arial" w:cs="Arial" w:eastAsia="Arial" w:hAnsi="Arial"/>
          <w:sz w:val="32"/>
          <w:szCs w:val="32"/>
          <w:color w:val="auto"/>
          <w:w w:val="99"/>
        </w:rPr>
        <w:t>”</w:t>
      </w:r>
      <w:r>
        <w:rPr>
          <w:rFonts w:ascii="宋体" w:cs="宋体" w:eastAsia="宋体" w:hAnsi="宋体"/>
          <w:sz w:val="32"/>
          <w:szCs w:val="32"/>
          <w:color w:val="auto"/>
          <w:w w:val="99"/>
        </w:rPr>
        <w:t>、施工图联审、联合验收、监督检查、信用公示等系统信息共享和业务协同，企业信息一次填报、材料一次上传，部门评审意见和审批结果实时推送，批复文件等在线打印。二是将工程建设项目涉及的行政许可、备案、评估评审、中介服务、市政公用服务等事项纳入工程建设项目审批系统，公开办理标准和费用。</w:t>
      </w:r>
    </w:p>
    <w:p>
      <w:pPr>
        <w:spacing w:after="0" w:line="205"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（二）营造更加便利的市场环境</w:t>
      </w:r>
    </w:p>
    <w:p>
      <w:pPr>
        <w:spacing w:after="0" w:line="242" w:lineRule="exact"/>
        <w:rPr>
          <w:sz w:val="20"/>
          <w:szCs w:val="20"/>
          <w:color w:val="auto"/>
        </w:rPr>
      </w:pPr>
    </w:p>
    <w:p>
      <w:pPr>
        <w:jc w:val="both"/>
        <w:ind w:left="360" w:right="366" w:firstLine="641"/>
        <w:spacing w:after="0" w:line="480" w:lineRule="exact"/>
        <w:rPr>
          <w:sz w:val="20"/>
          <w:szCs w:val="20"/>
          <w:color w:val="auto"/>
        </w:rPr>
      </w:pPr>
      <w:r>
        <w:rPr>
          <w:rFonts w:ascii="宋体" w:cs="宋体" w:eastAsia="宋体" w:hAnsi="宋体"/>
          <w:sz w:val="32"/>
          <w:szCs w:val="32"/>
          <w:color w:val="auto"/>
        </w:rPr>
        <w:t>以市场主体需求为导向，在商事制度、融资信贷、招标投标等方面持续深化改革，为市场主体从事生产经营活动创造国际一流的发展环境。</w:t>
      </w:r>
    </w:p>
    <w:p>
      <w:pPr>
        <w:spacing w:after="0" w:line="208" w:lineRule="exact"/>
        <w:rPr>
          <w:sz w:val="20"/>
          <w:szCs w:val="20"/>
          <w:color w:val="auto"/>
        </w:rPr>
      </w:pPr>
    </w:p>
    <w:p>
      <w:pPr>
        <w:jc w:val="both"/>
        <w:ind w:left="360" w:right="366" w:firstLine="641"/>
        <w:spacing w:after="0" w:line="544" w:lineRule="exact"/>
        <w:rPr>
          <w:sz w:val="20"/>
          <w:szCs w:val="20"/>
          <w:color w:val="auto"/>
        </w:rPr>
      </w:pPr>
      <w:r>
        <w:rPr>
          <w:rFonts w:ascii="Calibri" w:cs="Calibri" w:eastAsia="Calibri" w:hAnsi="Calibri"/>
          <w:sz w:val="31"/>
          <w:szCs w:val="31"/>
          <w:color w:val="auto"/>
        </w:rPr>
        <w:t>1.</w:t>
      </w:r>
      <w:r>
        <w:rPr>
          <w:rFonts w:ascii="宋体" w:cs="宋体" w:eastAsia="宋体" w:hAnsi="宋体"/>
          <w:sz w:val="31"/>
          <w:szCs w:val="31"/>
          <w:color w:val="auto"/>
        </w:rPr>
        <w:t>进一步降低市场准入门槛。一是全面梳理工程建设、教育、医疗、体育等领域准入事项，明确事项名称、申请条件和材料、办理流程等内容并向社会公开；对企业资质、资金、股比、人员、场所等设置的不合理条件要立即清理。二是优化诊所和药店开设审批，对符合条件的诊所执业登记实行备案制管理；对社会办医疗机构乙类大型医用设备配置许可和只经营乙类非处方药零售企业开设实行告知承诺制。三是取消药品零售企业筹建审批，清理对开办药店设定的间距限制等不合理条件。四是在自贸区推行食品经营（仅销售预包装食品）备案制。五是通过营业性演出在线审批系统实现跨区演出信息共享，对于获得全国各级文化和旅游主管部门批准的营业性演出等项目，在批准举办日期起一年内再次申请举办，实行事前备案管理，原则上不再重复审批。</w:t>
      </w:r>
    </w:p>
    <w:p>
      <w:pPr>
        <w:spacing w:after="0" w:line="206" w:lineRule="exact"/>
        <w:rPr>
          <w:sz w:val="20"/>
          <w:szCs w:val="20"/>
          <w:color w:val="auto"/>
        </w:rPr>
      </w:pPr>
    </w:p>
    <w:p>
      <w:pPr>
        <w:ind w:left="1000"/>
        <w:spacing w:after="0" w:line="406" w:lineRule="exact"/>
        <w:rPr>
          <w:sz w:val="20"/>
          <w:szCs w:val="20"/>
          <w:color w:val="auto"/>
        </w:rPr>
      </w:pPr>
      <w:r>
        <w:rPr>
          <w:rFonts w:ascii="Calibri" w:cs="Calibri" w:eastAsia="Calibri" w:hAnsi="Calibri"/>
          <w:sz w:val="32"/>
          <w:szCs w:val="32"/>
          <w:color w:val="auto"/>
        </w:rPr>
        <w:t>2.</w:t>
      </w:r>
      <w:r>
        <w:rPr>
          <w:rFonts w:ascii="宋体" w:cs="宋体" w:eastAsia="宋体" w:hAnsi="宋体"/>
          <w:sz w:val="32"/>
          <w:szCs w:val="32"/>
          <w:color w:val="auto"/>
        </w:rPr>
        <w:t>优化新业态新模式市场准入环境。针对数字经济领域</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ind w:left="4380"/>
        <w:spacing w:after="0" w:line="308" w:lineRule="exact"/>
        <w:rPr>
          <w:sz w:val="20"/>
          <w:szCs w:val="20"/>
          <w:color w:val="auto"/>
        </w:rPr>
      </w:pPr>
      <w:r>
        <w:rPr>
          <w:rFonts w:ascii="宋体" w:cs="宋体" w:eastAsia="宋体" w:hAnsi="宋体"/>
          <w:sz w:val="27"/>
          <w:szCs w:val="27"/>
          <w:color w:val="auto"/>
        </w:rPr>
        <w:t>- 26 -</w:t>
      </w:r>
    </w:p>
    <w:p>
      <w:pPr>
        <w:sectPr>
          <w:pgSz w:w="11900" w:h="16838" w:orient="portrait"/>
          <w:cols w:equalWidth="0" w:num="1">
            <w:col w:w="9026"/>
          </w:cols>
          <w:pgMar w:left="1440" w:top="1440" w:right="1440" w:bottom="500" w:gutter="0" w:footer="0" w:header="0"/>
          <w:type w:val="continuous"/>
        </w:sectPr>
      </w:pPr>
    </w:p>
    <w:bookmarkStart w:id="28" w:name="page29"/>
    <w:bookmarkEnd w:id="28"/>
    <w:p>
      <w:pPr>
        <w:spacing w:after="0" w:line="177" w:lineRule="exact"/>
        <w:rPr>
          <w:sz w:val="20"/>
          <w:szCs w:val="20"/>
          <w:color w:val="auto"/>
        </w:rPr>
      </w:pPr>
    </w:p>
    <w:p>
      <w:pPr>
        <w:jc w:val="both"/>
        <w:ind w:left="360" w:right="346"/>
        <w:spacing w:after="0" w:line="550" w:lineRule="exact"/>
        <w:rPr>
          <w:sz w:val="20"/>
          <w:szCs w:val="20"/>
          <w:color w:val="auto"/>
        </w:rPr>
      </w:pPr>
      <w:r>
        <w:rPr>
          <w:rFonts w:ascii="宋体" w:cs="宋体" w:eastAsia="宋体" w:hAnsi="宋体"/>
          <w:sz w:val="31"/>
          <w:szCs w:val="31"/>
          <w:color w:val="auto"/>
        </w:rPr>
        <w:t>市场准入事项数量多、条件高、手续繁等问题，研究提出放宽数字经济领域市场准入的改革措施。一是对新业态新模式涉及的行政许可，全部纳入政务服务事项清单并向社会公开，将电竞赛事、互联网医疗相关审批事项纳入市、区两级政务服务大厅综合窗口。二是支持电竞赛事在京发展，简化电竞赛事审批，将赛事许可和安全许可合并办理，实现一次申报、并联审批；依据体育主管部门出具的参加电竞赛事运动员身份确认函，为境外参赛人员提供签证便利化服务。三是优化互联网医疗发展环境，鼓励支持医疗机构对接互联网平台，市场主体可以同步申请设立实体医疗机构和互联网医院，实现</w:t>
      </w:r>
      <w:r>
        <w:rPr>
          <w:rFonts w:ascii="Arial" w:cs="Arial" w:eastAsia="Arial" w:hAnsi="Arial"/>
          <w:sz w:val="31"/>
          <w:szCs w:val="31"/>
          <w:color w:val="auto"/>
        </w:rPr>
        <w:t>“</w:t>
      </w:r>
      <w:r>
        <w:rPr>
          <w:rFonts w:ascii="宋体" w:cs="宋体" w:eastAsia="宋体" w:hAnsi="宋体"/>
          <w:sz w:val="31"/>
          <w:szCs w:val="31"/>
          <w:color w:val="auto"/>
        </w:rPr>
        <w:t>同审批、同发证</w:t>
      </w:r>
      <w:r>
        <w:rPr>
          <w:rFonts w:ascii="Arial" w:cs="Arial" w:eastAsia="Arial" w:hAnsi="Arial"/>
          <w:sz w:val="31"/>
          <w:szCs w:val="31"/>
          <w:color w:val="auto"/>
        </w:rPr>
        <w:t>”</w:t>
      </w:r>
      <w:r>
        <w:rPr>
          <w:rFonts w:ascii="宋体" w:cs="宋体" w:eastAsia="宋体" w:hAnsi="宋体"/>
          <w:sz w:val="31"/>
          <w:szCs w:val="31"/>
          <w:color w:val="auto"/>
        </w:rPr>
        <w:t>；推动开展互联网复诊、健康咨询、远程辅助诊断等服务，探索根据病种分级分类实施互联网问诊管理，实现线上咨询、线下诊疗衔接。四是促进在线教育健康有序发展，进一步明确校外在线教育备案审查时限和标准，持续更新本市校外在线教育备案名单。五是提高自动驾驶测试效率和透明度，推动自动驾驶封闭场地测试结果异地通用互认，向社会公开封闭场地测试服务项目及收费标准并进行监管；简化自动驾驶测试通知书申领和续发手续，对测试通知书到期但车辆状态未改变的无需重复测试，直接延长期限。六是优化网约车行业市场准入制度，出台本市深化巡游出租车与网约车融合发展改革方案，鼓励巡游出租车开展网约服务；推动公安、交通等部门数据共享，实现网约车运输证</w:t>
      </w:r>
      <w:r>
        <w:rPr>
          <w:rFonts w:ascii="Arial" w:cs="Arial" w:eastAsia="Arial" w:hAnsi="Arial"/>
          <w:sz w:val="31"/>
          <w:szCs w:val="31"/>
          <w:color w:val="auto"/>
        </w:rPr>
        <w:t>“</w:t>
      </w:r>
      <w:r>
        <w:rPr>
          <w:rFonts w:ascii="宋体" w:cs="宋体" w:eastAsia="宋体" w:hAnsi="宋体"/>
          <w:sz w:val="31"/>
          <w:szCs w:val="31"/>
          <w:color w:val="auto"/>
        </w:rPr>
        <w:t>全程网办</w:t>
      </w:r>
      <w:r>
        <w:rPr>
          <w:rFonts w:ascii="Arial" w:cs="Arial" w:eastAsia="Arial" w:hAnsi="Arial"/>
          <w:sz w:val="31"/>
          <w:szCs w:val="31"/>
          <w:color w:val="auto"/>
        </w:rPr>
        <w:t>”</w:t>
      </w:r>
      <w:r>
        <w:rPr>
          <w:rFonts w:ascii="宋体" w:cs="宋体" w:eastAsia="宋体" w:hAnsi="宋体"/>
          <w:sz w:val="31"/>
          <w:szCs w:val="31"/>
          <w:color w:val="auto"/>
        </w:rPr>
        <w:t>。七是加快网络游戏版号审批，扩充游戏审读专家队伍，对疫情期间出版的抗击疫情、休闲</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ind w:left="4380"/>
        <w:spacing w:after="0" w:line="308" w:lineRule="exact"/>
        <w:rPr>
          <w:sz w:val="20"/>
          <w:szCs w:val="20"/>
          <w:color w:val="auto"/>
        </w:rPr>
      </w:pPr>
      <w:r>
        <w:rPr>
          <w:rFonts w:ascii="宋体" w:cs="宋体" w:eastAsia="宋体" w:hAnsi="宋体"/>
          <w:sz w:val="27"/>
          <w:szCs w:val="27"/>
          <w:color w:val="auto"/>
        </w:rPr>
        <w:t>- 27 -</w:t>
      </w:r>
    </w:p>
    <w:p>
      <w:pPr>
        <w:sectPr>
          <w:pgSz w:w="11900" w:h="16838" w:orient="portrait"/>
          <w:cols w:equalWidth="0" w:num="1">
            <w:col w:w="9026"/>
          </w:cols>
          <w:pgMar w:left="1440" w:top="1440" w:right="1440" w:bottom="500" w:gutter="0" w:footer="0" w:header="0"/>
          <w:type w:val="continuous"/>
        </w:sectPr>
      </w:pPr>
    </w:p>
    <w:bookmarkStart w:id="29" w:name="page30"/>
    <w:bookmarkEnd w:id="29"/>
    <w:p>
      <w:pPr>
        <w:spacing w:after="0" w:line="177" w:lineRule="exact"/>
        <w:rPr>
          <w:sz w:val="20"/>
          <w:szCs w:val="20"/>
          <w:color w:val="auto"/>
        </w:rPr>
      </w:pPr>
    </w:p>
    <w:p>
      <w:pPr>
        <w:ind w:left="360" w:right="366"/>
        <w:spacing w:after="0" w:line="437" w:lineRule="exact"/>
        <w:rPr>
          <w:sz w:val="20"/>
          <w:szCs w:val="20"/>
          <w:color w:val="auto"/>
        </w:rPr>
      </w:pPr>
      <w:r>
        <w:rPr>
          <w:rFonts w:ascii="宋体" w:cs="宋体" w:eastAsia="宋体" w:hAnsi="宋体"/>
          <w:sz w:val="32"/>
          <w:szCs w:val="32"/>
          <w:color w:val="auto"/>
        </w:rPr>
        <w:t>益智等不含收费、广告内容的游戏产品实施先上线后备案管理。</w:t>
      </w:r>
    </w:p>
    <w:p>
      <w:pPr>
        <w:spacing w:after="0" w:line="208" w:lineRule="exact"/>
        <w:rPr>
          <w:sz w:val="20"/>
          <w:szCs w:val="20"/>
          <w:color w:val="auto"/>
        </w:rPr>
      </w:pPr>
    </w:p>
    <w:p>
      <w:pPr>
        <w:ind w:left="1000"/>
        <w:spacing w:after="0" w:line="406" w:lineRule="exact"/>
        <w:rPr>
          <w:sz w:val="20"/>
          <w:szCs w:val="20"/>
          <w:color w:val="auto"/>
        </w:rPr>
      </w:pPr>
      <w:r>
        <w:rPr>
          <w:rFonts w:ascii="Calibri" w:cs="Calibri" w:eastAsia="Calibri" w:hAnsi="Calibri"/>
          <w:sz w:val="32"/>
          <w:szCs w:val="32"/>
          <w:color w:val="auto"/>
        </w:rPr>
        <w:t>3.</w:t>
      </w:r>
      <w:r>
        <w:rPr>
          <w:rFonts w:ascii="宋体" w:cs="宋体" w:eastAsia="宋体" w:hAnsi="宋体"/>
          <w:sz w:val="32"/>
          <w:szCs w:val="32"/>
          <w:color w:val="auto"/>
        </w:rPr>
        <w:t>深化</w:t>
      </w:r>
      <w:r>
        <w:rPr>
          <w:rFonts w:ascii="Arial" w:cs="Arial" w:eastAsia="Arial" w:hAnsi="Arial"/>
          <w:sz w:val="32"/>
          <w:szCs w:val="32"/>
          <w:color w:val="auto"/>
        </w:rPr>
        <w:t>“</w:t>
      </w:r>
      <w:r>
        <w:rPr>
          <w:rFonts w:ascii="宋体" w:cs="宋体" w:eastAsia="宋体" w:hAnsi="宋体"/>
          <w:sz w:val="32"/>
          <w:szCs w:val="32"/>
          <w:color w:val="auto"/>
        </w:rPr>
        <w:t>证照分离</w:t>
      </w:r>
      <w:r>
        <w:rPr>
          <w:rFonts w:ascii="Arial" w:cs="Arial" w:eastAsia="Arial" w:hAnsi="Arial"/>
          <w:sz w:val="32"/>
          <w:szCs w:val="32"/>
          <w:color w:val="auto"/>
        </w:rPr>
        <w:t>”</w:t>
      </w:r>
      <w:r>
        <w:rPr>
          <w:rFonts w:ascii="宋体" w:cs="宋体" w:eastAsia="宋体" w:hAnsi="宋体"/>
          <w:sz w:val="32"/>
          <w:szCs w:val="32"/>
          <w:color w:val="auto"/>
        </w:rPr>
        <w:t>改革。一是着力破解</w:t>
      </w:r>
      <w:r>
        <w:rPr>
          <w:rFonts w:ascii="Arial" w:cs="Arial" w:eastAsia="Arial" w:hAnsi="Arial"/>
          <w:sz w:val="32"/>
          <w:szCs w:val="32"/>
          <w:color w:val="auto"/>
        </w:rPr>
        <w:t>“</w:t>
      </w:r>
      <w:r>
        <w:rPr>
          <w:rFonts w:ascii="宋体" w:cs="宋体" w:eastAsia="宋体" w:hAnsi="宋体"/>
          <w:sz w:val="32"/>
          <w:szCs w:val="32"/>
          <w:color w:val="auto"/>
        </w:rPr>
        <w:t>准入不准营</w:t>
      </w:r>
      <w:r>
        <w:rPr>
          <w:rFonts w:ascii="Arial" w:cs="Arial" w:eastAsia="Arial" w:hAnsi="Arial"/>
          <w:sz w:val="32"/>
          <w:szCs w:val="32"/>
          <w:color w:val="auto"/>
        </w:rPr>
        <w:t>”</w:t>
      </w:r>
    </w:p>
    <w:p>
      <w:pPr>
        <w:spacing w:after="0" w:line="193" w:lineRule="exact"/>
        <w:rPr>
          <w:sz w:val="20"/>
          <w:szCs w:val="20"/>
          <w:color w:val="auto"/>
        </w:rPr>
      </w:pPr>
    </w:p>
    <w:p>
      <w:pPr>
        <w:ind w:left="360" w:right="206"/>
        <w:spacing w:after="0" w:line="542" w:lineRule="exact"/>
        <w:rPr>
          <w:sz w:val="20"/>
          <w:szCs w:val="20"/>
          <w:color w:val="auto"/>
        </w:rPr>
      </w:pPr>
      <w:r>
        <w:rPr>
          <w:rFonts w:ascii="宋体" w:cs="宋体" w:eastAsia="宋体" w:hAnsi="宋体"/>
          <w:sz w:val="32"/>
          <w:szCs w:val="32"/>
          <w:color w:val="auto"/>
        </w:rPr>
        <w:t>难题，按照国家</w:t>
      </w:r>
      <w:r>
        <w:rPr>
          <w:rFonts w:ascii="Arial" w:cs="Arial" w:eastAsia="Arial" w:hAnsi="Arial"/>
          <w:sz w:val="32"/>
          <w:szCs w:val="32"/>
          <w:color w:val="auto"/>
        </w:rPr>
        <w:t>“</w:t>
      </w:r>
      <w:r>
        <w:rPr>
          <w:rFonts w:ascii="宋体" w:cs="宋体" w:eastAsia="宋体" w:hAnsi="宋体"/>
          <w:sz w:val="32"/>
          <w:szCs w:val="32"/>
          <w:color w:val="auto"/>
        </w:rPr>
        <w:t>证照分离</w:t>
      </w:r>
      <w:r>
        <w:rPr>
          <w:rFonts w:ascii="Arial" w:cs="Arial" w:eastAsia="Arial" w:hAnsi="Arial"/>
          <w:sz w:val="32"/>
          <w:szCs w:val="32"/>
          <w:color w:val="auto"/>
        </w:rPr>
        <w:t>”</w:t>
      </w:r>
      <w:r>
        <w:rPr>
          <w:rFonts w:ascii="宋体" w:cs="宋体" w:eastAsia="宋体" w:hAnsi="宋体"/>
          <w:sz w:val="32"/>
          <w:szCs w:val="32"/>
          <w:color w:val="auto"/>
        </w:rPr>
        <w:t>改革全覆盖试点要求，全面清理涉企经营许可事项，对全市所有涉企经营许可事项实行清单管理并向社会公布；清单之外不得限制企业进入相关行业或领域，企业取得营业执照即可自主开展一般性经营。二是着力推进</w:t>
      </w:r>
      <w:r>
        <w:rPr>
          <w:rFonts w:ascii="Arial" w:cs="Arial" w:eastAsia="Arial" w:hAnsi="Arial"/>
          <w:sz w:val="32"/>
          <w:szCs w:val="32"/>
          <w:color w:val="auto"/>
        </w:rPr>
        <w:t>“</w:t>
      </w:r>
      <w:r>
        <w:rPr>
          <w:rFonts w:ascii="宋体" w:cs="宋体" w:eastAsia="宋体" w:hAnsi="宋体"/>
          <w:sz w:val="32"/>
          <w:szCs w:val="32"/>
          <w:color w:val="auto"/>
        </w:rPr>
        <w:t>照后减证</w:t>
      </w:r>
      <w:r>
        <w:rPr>
          <w:rFonts w:ascii="Arial" w:cs="Arial" w:eastAsia="Arial" w:hAnsi="Arial"/>
          <w:sz w:val="32"/>
          <w:szCs w:val="32"/>
          <w:color w:val="auto"/>
        </w:rPr>
        <w:t>”</w:t>
      </w:r>
      <w:r>
        <w:rPr>
          <w:rFonts w:ascii="宋体" w:cs="宋体" w:eastAsia="宋体" w:hAnsi="宋体"/>
          <w:sz w:val="32"/>
          <w:szCs w:val="32"/>
          <w:color w:val="auto"/>
        </w:rPr>
        <w:t>和简化审批，</w:t>
      </w:r>
      <w:r>
        <w:rPr>
          <w:rFonts w:ascii="Calibri" w:cs="Calibri" w:eastAsia="Calibri" w:hAnsi="Calibri"/>
          <w:sz w:val="32"/>
          <w:szCs w:val="32"/>
          <w:color w:val="auto"/>
        </w:rPr>
        <w:t>2021</w:t>
      </w:r>
      <w:r>
        <w:rPr>
          <w:rFonts w:ascii="Arial" w:cs="Arial" w:eastAsia="Arial" w:hAnsi="Arial"/>
          <w:sz w:val="32"/>
          <w:szCs w:val="32"/>
          <w:color w:val="auto"/>
        </w:rPr>
        <w:t xml:space="preserve"> </w:t>
      </w:r>
      <w:r>
        <w:rPr>
          <w:rFonts w:ascii="宋体" w:cs="宋体" w:eastAsia="宋体" w:hAnsi="宋体"/>
          <w:sz w:val="32"/>
          <w:szCs w:val="32"/>
          <w:color w:val="auto"/>
        </w:rPr>
        <w:t>年底前取消审批、改为备案或实行告知承诺的事项力争达到</w:t>
      </w:r>
      <w:r>
        <w:rPr>
          <w:rFonts w:ascii="Calibri" w:cs="Calibri" w:eastAsia="Calibri" w:hAnsi="Calibri"/>
          <w:sz w:val="32"/>
          <w:szCs w:val="32"/>
          <w:color w:val="auto"/>
        </w:rPr>
        <w:t xml:space="preserve"> 100 </w:t>
      </w:r>
      <w:r>
        <w:rPr>
          <w:rFonts w:ascii="宋体" w:cs="宋体" w:eastAsia="宋体" w:hAnsi="宋体"/>
          <w:sz w:val="32"/>
          <w:szCs w:val="32"/>
          <w:color w:val="auto"/>
        </w:rPr>
        <w:t>项以上，自贸区范围内力争达到</w:t>
      </w:r>
      <w:r>
        <w:rPr>
          <w:rFonts w:ascii="Calibri" w:cs="Calibri" w:eastAsia="Calibri" w:hAnsi="Calibri"/>
          <w:sz w:val="32"/>
          <w:szCs w:val="32"/>
          <w:color w:val="auto"/>
        </w:rPr>
        <w:t xml:space="preserve"> 150 </w:t>
      </w:r>
      <w:r>
        <w:rPr>
          <w:rFonts w:ascii="宋体" w:cs="宋体" w:eastAsia="宋体" w:hAnsi="宋体"/>
          <w:sz w:val="32"/>
          <w:szCs w:val="32"/>
          <w:color w:val="auto"/>
        </w:rPr>
        <w:t>项。三是开展食品类相关许可事项</w:t>
      </w:r>
      <w:r>
        <w:rPr>
          <w:rFonts w:ascii="Arial" w:cs="Arial" w:eastAsia="Arial" w:hAnsi="Arial"/>
          <w:sz w:val="32"/>
          <w:szCs w:val="32"/>
          <w:color w:val="auto"/>
        </w:rPr>
        <w:t>“</w:t>
      </w:r>
      <w:r>
        <w:rPr>
          <w:rFonts w:ascii="宋体" w:cs="宋体" w:eastAsia="宋体" w:hAnsi="宋体"/>
          <w:sz w:val="32"/>
          <w:szCs w:val="32"/>
          <w:color w:val="auto"/>
        </w:rPr>
        <w:t>证照联办</w:t>
      </w:r>
      <w:r>
        <w:rPr>
          <w:rFonts w:ascii="Arial" w:cs="Arial" w:eastAsia="Arial" w:hAnsi="Arial"/>
          <w:sz w:val="32"/>
          <w:szCs w:val="32"/>
          <w:color w:val="auto"/>
        </w:rPr>
        <w:t>”</w:t>
      </w:r>
      <w:r>
        <w:rPr>
          <w:rFonts w:ascii="宋体" w:cs="宋体" w:eastAsia="宋体" w:hAnsi="宋体"/>
          <w:sz w:val="32"/>
          <w:szCs w:val="32"/>
          <w:color w:val="auto"/>
        </w:rPr>
        <w:t>改革试点，实现企业营业执照和行政许可一次申请、并联审批。四是着力解决市场准入多头审批、重复审批问题，在北京经济技术开发区开展</w:t>
      </w:r>
      <w:r>
        <w:rPr>
          <w:rFonts w:ascii="Arial" w:cs="Arial" w:eastAsia="Arial" w:hAnsi="Arial"/>
          <w:sz w:val="32"/>
          <w:szCs w:val="32"/>
          <w:color w:val="auto"/>
        </w:rPr>
        <w:t>“</w:t>
      </w:r>
      <w:r>
        <w:rPr>
          <w:rFonts w:ascii="宋体" w:cs="宋体" w:eastAsia="宋体" w:hAnsi="宋体"/>
          <w:sz w:val="32"/>
          <w:szCs w:val="32"/>
          <w:color w:val="auto"/>
        </w:rPr>
        <w:t>一业一证</w:t>
      </w:r>
      <w:r>
        <w:rPr>
          <w:rFonts w:ascii="Arial" w:cs="Arial" w:eastAsia="Arial" w:hAnsi="Arial"/>
          <w:sz w:val="32"/>
          <w:szCs w:val="32"/>
          <w:color w:val="auto"/>
        </w:rPr>
        <w:t>”</w:t>
      </w:r>
      <w:r>
        <w:rPr>
          <w:rFonts w:ascii="宋体" w:cs="宋体" w:eastAsia="宋体" w:hAnsi="宋体"/>
          <w:sz w:val="32"/>
          <w:szCs w:val="32"/>
          <w:color w:val="auto"/>
        </w:rPr>
        <w:t>改革试点，并逐步向自贸区推广，实现</w:t>
      </w:r>
      <w:r>
        <w:rPr>
          <w:rFonts w:ascii="Arial" w:cs="Arial" w:eastAsia="Arial" w:hAnsi="Arial"/>
          <w:sz w:val="32"/>
          <w:szCs w:val="32"/>
          <w:color w:val="auto"/>
        </w:rPr>
        <w:t>“</w:t>
      </w:r>
      <w:r>
        <w:rPr>
          <w:rFonts w:ascii="宋体" w:cs="宋体" w:eastAsia="宋体" w:hAnsi="宋体"/>
          <w:sz w:val="32"/>
          <w:szCs w:val="32"/>
          <w:color w:val="auto"/>
        </w:rPr>
        <w:t>一证准营</w:t>
      </w:r>
      <w:r>
        <w:rPr>
          <w:rFonts w:ascii="Arial" w:cs="Arial" w:eastAsia="Arial" w:hAnsi="Arial"/>
          <w:sz w:val="32"/>
          <w:szCs w:val="32"/>
          <w:color w:val="auto"/>
        </w:rPr>
        <w:t>”</w:t>
      </w:r>
      <w:r>
        <w:rPr>
          <w:rFonts w:ascii="宋体" w:cs="宋体" w:eastAsia="宋体" w:hAnsi="宋体"/>
          <w:sz w:val="32"/>
          <w:szCs w:val="32"/>
          <w:color w:val="auto"/>
        </w:rPr>
        <w:t>。五是落实</w:t>
      </w:r>
      <w:r>
        <w:rPr>
          <w:rFonts w:ascii="Arial" w:cs="Arial" w:eastAsia="Arial" w:hAnsi="Arial"/>
          <w:sz w:val="32"/>
          <w:szCs w:val="32"/>
          <w:color w:val="auto"/>
        </w:rPr>
        <w:t>“</w:t>
      </w:r>
      <w:r>
        <w:rPr>
          <w:rFonts w:ascii="宋体" w:cs="宋体" w:eastAsia="宋体" w:hAnsi="宋体"/>
          <w:sz w:val="32"/>
          <w:szCs w:val="32"/>
          <w:color w:val="auto"/>
        </w:rPr>
        <w:t>一照多址</w:t>
      </w:r>
      <w:r>
        <w:rPr>
          <w:rFonts w:ascii="Arial" w:cs="Arial" w:eastAsia="Arial" w:hAnsi="Arial"/>
          <w:sz w:val="32"/>
          <w:szCs w:val="32"/>
          <w:color w:val="auto"/>
        </w:rPr>
        <w:t>”</w:t>
      </w:r>
      <w:r>
        <w:rPr>
          <w:rFonts w:ascii="宋体" w:cs="宋体" w:eastAsia="宋体" w:hAnsi="宋体"/>
          <w:sz w:val="32"/>
          <w:szCs w:val="32"/>
          <w:color w:val="auto"/>
        </w:rPr>
        <w:t>改革，市场主体已公示其分支机构实际经营场所或在营业执照注明分支机构住所的，各审批部门应依法为其分支机构办理相关许可事项审批手续。</w:t>
      </w:r>
    </w:p>
    <w:p>
      <w:pPr>
        <w:spacing w:after="0" w:line="219" w:lineRule="exact"/>
        <w:rPr>
          <w:sz w:val="20"/>
          <w:szCs w:val="20"/>
          <w:color w:val="auto"/>
        </w:rPr>
      </w:pPr>
    </w:p>
    <w:p>
      <w:pPr>
        <w:jc w:val="both"/>
        <w:ind w:left="360" w:right="366" w:firstLine="641"/>
        <w:spacing w:after="0" w:line="530" w:lineRule="exact"/>
        <w:rPr>
          <w:sz w:val="20"/>
          <w:szCs w:val="20"/>
          <w:color w:val="auto"/>
        </w:rPr>
      </w:pPr>
      <w:r>
        <w:rPr>
          <w:rFonts w:ascii="Calibri" w:cs="Calibri" w:eastAsia="Calibri" w:hAnsi="Calibri"/>
          <w:sz w:val="31"/>
          <w:szCs w:val="31"/>
          <w:color w:val="auto"/>
        </w:rPr>
        <w:t>4.</w:t>
      </w:r>
      <w:r>
        <w:rPr>
          <w:rFonts w:ascii="宋体" w:cs="宋体" w:eastAsia="宋体" w:hAnsi="宋体"/>
          <w:sz w:val="31"/>
          <w:szCs w:val="31"/>
          <w:color w:val="auto"/>
        </w:rPr>
        <w:t>持续改善中小微企业融资环境。重点围绕中小微企业信用评价、担保、质押、信贷、创业投资等重点环节，提供更加便利、更加优惠的融资服务。一是鼓励银行、担保机构制定完善经营指标评价、贷款尽职免责标准和流程，创新对中小微企业的信贷服务模式，全面推行线上服务。二是发挥北京知识产权交易中心作用，为科技型中小微企业提供知识产权登记和交易等全链条服务，年服务科技型中小微企业不</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ind w:left="4380"/>
        <w:spacing w:after="0" w:line="308" w:lineRule="exact"/>
        <w:rPr>
          <w:sz w:val="20"/>
          <w:szCs w:val="20"/>
          <w:color w:val="auto"/>
        </w:rPr>
      </w:pPr>
      <w:r>
        <w:rPr>
          <w:rFonts w:ascii="宋体" w:cs="宋体" w:eastAsia="宋体" w:hAnsi="宋体"/>
          <w:sz w:val="27"/>
          <w:szCs w:val="27"/>
          <w:color w:val="auto"/>
        </w:rPr>
        <w:t>- 28 -</w:t>
      </w:r>
    </w:p>
    <w:p>
      <w:pPr>
        <w:sectPr>
          <w:pgSz w:w="11900" w:h="16838" w:orient="portrait"/>
          <w:cols w:equalWidth="0" w:num="1">
            <w:col w:w="9026"/>
          </w:cols>
          <w:pgMar w:left="1440" w:top="1440" w:right="1440" w:bottom="500" w:gutter="0" w:footer="0" w:header="0"/>
          <w:type w:val="continuous"/>
        </w:sectPr>
      </w:pPr>
    </w:p>
    <w:bookmarkStart w:id="30" w:name="page31"/>
    <w:bookmarkEnd w:id="30"/>
    <w:p>
      <w:pPr>
        <w:spacing w:after="0" w:line="143" w:lineRule="exact"/>
        <w:rPr>
          <w:sz w:val="20"/>
          <w:szCs w:val="20"/>
          <w:color w:val="auto"/>
        </w:rPr>
      </w:pPr>
    </w:p>
    <w:p>
      <w:pPr>
        <w:jc w:val="both"/>
        <w:ind w:left="360" w:right="366"/>
        <w:spacing w:after="0" w:line="537" w:lineRule="exact"/>
        <w:rPr>
          <w:sz w:val="20"/>
          <w:szCs w:val="20"/>
          <w:color w:val="auto"/>
        </w:rPr>
      </w:pPr>
      <w:r>
        <w:rPr>
          <w:rFonts w:ascii="宋体" w:cs="宋体" w:eastAsia="宋体" w:hAnsi="宋体"/>
          <w:sz w:val="31"/>
          <w:szCs w:val="31"/>
          <w:color w:val="auto"/>
        </w:rPr>
        <w:t>少于</w:t>
      </w:r>
      <w:r>
        <w:rPr>
          <w:rFonts w:ascii="Calibri" w:cs="Calibri" w:eastAsia="Calibri" w:hAnsi="Calibri"/>
          <w:sz w:val="31"/>
          <w:szCs w:val="31"/>
          <w:color w:val="auto"/>
        </w:rPr>
        <w:t xml:space="preserve"> 5000 </w:t>
      </w:r>
      <w:r>
        <w:rPr>
          <w:rFonts w:ascii="宋体" w:cs="宋体" w:eastAsia="宋体" w:hAnsi="宋体"/>
          <w:sz w:val="31"/>
          <w:szCs w:val="31"/>
          <w:color w:val="auto"/>
        </w:rPr>
        <w:t>家。三是鼓励金融机构加强与知识产权中介机构合作，开发金融产品，提高融资规模，本市新发放知识产权质押贷款额力争同比增长</w:t>
      </w:r>
      <w:r>
        <w:rPr>
          <w:rFonts w:ascii="Calibri" w:cs="Calibri" w:eastAsia="Calibri" w:hAnsi="Calibri"/>
          <w:sz w:val="31"/>
          <w:szCs w:val="31"/>
          <w:color w:val="auto"/>
        </w:rPr>
        <w:t xml:space="preserve"> 30%</w:t>
      </w:r>
      <w:r>
        <w:rPr>
          <w:rFonts w:ascii="宋体" w:cs="宋体" w:eastAsia="宋体" w:hAnsi="宋体"/>
          <w:sz w:val="31"/>
          <w:szCs w:val="31"/>
          <w:color w:val="auto"/>
        </w:rPr>
        <w:t>以上。四是鼓励税务、人力资源社会保障等部门和公共服务企业建立信用评价标准和指标体系，加强与金融机构数据信息归集共享，引导金融机构加强信用贷款产品创新，小微企业信用贷款余额占比不低于</w:t>
      </w:r>
      <w:r>
        <w:rPr>
          <w:rFonts w:ascii="Calibri" w:cs="Calibri" w:eastAsia="Calibri" w:hAnsi="Calibri"/>
          <w:sz w:val="31"/>
          <w:szCs w:val="31"/>
          <w:color w:val="auto"/>
        </w:rPr>
        <w:t>30%</w:t>
      </w:r>
      <w:r>
        <w:rPr>
          <w:rFonts w:ascii="宋体" w:cs="宋体" w:eastAsia="宋体" w:hAnsi="宋体"/>
          <w:sz w:val="31"/>
          <w:szCs w:val="31"/>
          <w:color w:val="auto"/>
        </w:rPr>
        <w:t>。五是出台中小微企业首次贷款贴息指导意见，对在市</w:t>
      </w:r>
    </w:p>
    <w:p>
      <w:pPr>
        <w:spacing w:after="0" w:line="200" w:lineRule="exact"/>
        <w:rPr>
          <w:sz w:val="20"/>
          <w:szCs w:val="20"/>
          <w:color w:val="auto"/>
        </w:rPr>
      </w:pPr>
    </w:p>
    <w:p>
      <w:pPr>
        <w:jc w:val="both"/>
        <w:ind w:left="360" w:right="366"/>
        <w:spacing w:after="0" w:line="499" w:lineRule="exact"/>
        <w:rPr>
          <w:sz w:val="20"/>
          <w:szCs w:val="20"/>
          <w:color w:val="auto"/>
        </w:rPr>
      </w:pPr>
      <w:r>
        <w:rPr>
          <w:rFonts w:ascii="宋体" w:cs="宋体" w:eastAsia="宋体" w:hAnsi="宋体"/>
          <w:sz w:val="32"/>
          <w:szCs w:val="32"/>
          <w:color w:val="auto"/>
        </w:rPr>
        <w:t>首贷中心办理贷款业务的中小微企业进行贴息；市续贷中心推行网上受理、无还本续贷等服务。六是建设股权投资和创业投资份额转让平台，为私募股权持有人提供短期的流动性支持和规范的退出渠道。</w:t>
      </w:r>
    </w:p>
    <w:p>
      <w:pPr>
        <w:spacing w:after="0" w:line="209" w:lineRule="exact"/>
        <w:rPr>
          <w:sz w:val="20"/>
          <w:szCs w:val="20"/>
          <w:color w:val="auto"/>
        </w:rPr>
      </w:pPr>
    </w:p>
    <w:p>
      <w:pPr>
        <w:jc w:val="both"/>
        <w:ind w:left="360" w:right="346" w:firstLine="641"/>
        <w:spacing w:after="0" w:line="544" w:lineRule="exact"/>
        <w:rPr>
          <w:sz w:val="20"/>
          <w:szCs w:val="20"/>
          <w:color w:val="auto"/>
        </w:rPr>
      </w:pPr>
      <w:r>
        <w:rPr>
          <w:rFonts w:ascii="Calibri" w:cs="Calibri" w:eastAsia="Calibri" w:hAnsi="Calibri"/>
          <w:sz w:val="31"/>
          <w:szCs w:val="31"/>
          <w:color w:val="auto"/>
        </w:rPr>
        <w:t>5.</w:t>
      </w:r>
      <w:r>
        <w:rPr>
          <w:rFonts w:ascii="宋体" w:cs="宋体" w:eastAsia="宋体" w:hAnsi="宋体"/>
          <w:sz w:val="31"/>
          <w:szCs w:val="31"/>
          <w:color w:val="auto"/>
        </w:rPr>
        <w:t>深化政府采购和招标投标改革。一是建立全市统一的全流程电子化政府采购平台，完善在线招投标、采购评审、合同签订、履约验收、信用评价、资金支付功能。二是将政府集中采购供应商一次招标入围改为不定期备案，增加企业参与机会。三是研究建立公共资源交易统一管理服务机构，形成组织架构科学、管办分离、服务高效、监管规范的工作体系。四是建立完善统一规范、全流程电子化的公共资源交易平台体系，推进各类交易、主体、履约、信用、监管等数据信息共享，推动各部门在同一平台监管，为市场主体营造公开透明、高效便利、公平竞争的交易环境。五是加快推动公共资源招投标交易系统改造升级，实现项目进场登记、招标、投标、开标、评标、定标、合同履约管理、合同款项支付等全流程电子化。六是加快实现各交易系统与公共资源交</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ind w:left="4380"/>
        <w:spacing w:after="0" w:line="308" w:lineRule="exact"/>
        <w:rPr>
          <w:sz w:val="20"/>
          <w:szCs w:val="20"/>
          <w:color w:val="auto"/>
        </w:rPr>
      </w:pPr>
      <w:r>
        <w:rPr>
          <w:rFonts w:ascii="宋体" w:cs="宋体" w:eastAsia="宋体" w:hAnsi="宋体"/>
          <w:sz w:val="27"/>
          <w:szCs w:val="27"/>
          <w:color w:val="auto"/>
        </w:rPr>
        <w:t>- 29 -</w:t>
      </w:r>
    </w:p>
    <w:p>
      <w:pPr>
        <w:sectPr>
          <w:pgSz w:w="11900" w:h="16838" w:orient="portrait"/>
          <w:cols w:equalWidth="0" w:num="1">
            <w:col w:w="9026"/>
          </w:cols>
          <w:pgMar w:left="1440" w:top="1440" w:right="1440" w:bottom="500" w:gutter="0" w:footer="0" w:header="0"/>
          <w:type w:val="continuous"/>
        </w:sectPr>
      </w:pPr>
    </w:p>
    <w:bookmarkStart w:id="31" w:name="page32"/>
    <w:bookmarkEnd w:id="31"/>
    <w:p>
      <w:pPr>
        <w:spacing w:after="0" w:line="177" w:lineRule="exact"/>
        <w:rPr>
          <w:sz w:val="20"/>
          <w:szCs w:val="20"/>
          <w:color w:val="auto"/>
        </w:rPr>
      </w:pPr>
    </w:p>
    <w:p>
      <w:pPr>
        <w:jc w:val="both"/>
        <w:ind w:left="360" w:right="366"/>
        <w:spacing w:after="0" w:line="478" w:lineRule="exact"/>
        <w:rPr>
          <w:sz w:val="20"/>
          <w:szCs w:val="20"/>
          <w:color w:val="auto"/>
        </w:rPr>
      </w:pPr>
      <w:r>
        <w:rPr>
          <w:rFonts w:ascii="宋体" w:cs="宋体" w:eastAsia="宋体" w:hAnsi="宋体"/>
          <w:sz w:val="32"/>
          <w:szCs w:val="32"/>
          <w:color w:val="auto"/>
        </w:rPr>
        <w:t>易金融担保服务平台对接，提供在线提交投标保证金、履约保证金等服务；大力推行金融机构电子保函替代现金缴纳涉企保证金，减轻企业现金流压力。</w:t>
      </w:r>
    </w:p>
    <w:p>
      <w:pPr>
        <w:spacing w:after="0" w:line="19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（三）营造更加开放的外资外贸环境</w:t>
      </w:r>
    </w:p>
    <w:p>
      <w:pPr>
        <w:spacing w:after="0" w:line="242" w:lineRule="exact"/>
        <w:rPr>
          <w:sz w:val="20"/>
          <w:szCs w:val="20"/>
          <w:color w:val="auto"/>
        </w:rPr>
      </w:pPr>
    </w:p>
    <w:p>
      <w:pPr>
        <w:jc w:val="both"/>
        <w:ind w:left="360" w:right="366" w:firstLine="641"/>
        <w:spacing w:after="0" w:line="438" w:lineRule="exact"/>
        <w:rPr>
          <w:sz w:val="20"/>
          <w:szCs w:val="20"/>
          <w:color w:val="auto"/>
        </w:rPr>
      </w:pPr>
      <w:r>
        <w:rPr>
          <w:rFonts w:ascii="宋体" w:cs="宋体" w:eastAsia="宋体" w:hAnsi="宋体"/>
          <w:sz w:val="31"/>
          <w:szCs w:val="31"/>
          <w:color w:val="auto"/>
        </w:rPr>
        <w:t>推动投资贸易自由化、便利化，建立与国际规则相衔接的贸易监管体系，采取有效措施吸引外资企业在京发展。</w:t>
      </w:r>
    </w:p>
    <w:p>
      <w:pPr>
        <w:spacing w:after="0" w:line="211" w:lineRule="exact"/>
        <w:rPr>
          <w:sz w:val="20"/>
          <w:szCs w:val="20"/>
          <w:color w:val="auto"/>
        </w:rPr>
      </w:pPr>
    </w:p>
    <w:p>
      <w:pPr>
        <w:ind w:left="360" w:right="206" w:firstLine="641"/>
        <w:spacing w:after="0" w:line="541" w:lineRule="exact"/>
        <w:rPr>
          <w:sz w:val="20"/>
          <w:szCs w:val="20"/>
          <w:color w:val="auto"/>
        </w:rPr>
      </w:pPr>
      <w:r>
        <w:rPr>
          <w:rFonts w:ascii="Calibri" w:cs="Calibri" w:eastAsia="Calibri" w:hAnsi="Calibri"/>
          <w:sz w:val="32"/>
          <w:szCs w:val="32"/>
          <w:color w:val="auto"/>
        </w:rPr>
        <w:t>1.</w:t>
      </w:r>
      <w:r>
        <w:rPr>
          <w:rFonts w:ascii="宋体" w:cs="宋体" w:eastAsia="宋体" w:hAnsi="宋体"/>
          <w:sz w:val="32"/>
          <w:szCs w:val="32"/>
          <w:color w:val="auto"/>
        </w:rPr>
        <w:t>进一步提高进出口通关效率。一是实现进口、出口整体通关时间分别压缩至</w:t>
      </w:r>
      <w:r>
        <w:rPr>
          <w:rFonts w:ascii="Calibri" w:cs="Calibri" w:eastAsia="Calibri" w:hAnsi="Calibri"/>
          <w:sz w:val="32"/>
          <w:szCs w:val="32"/>
          <w:color w:val="auto"/>
        </w:rPr>
        <w:t xml:space="preserve"> 30 </w:t>
      </w:r>
      <w:r>
        <w:rPr>
          <w:rFonts w:ascii="宋体" w:cs="宋体" w:eastAsia="宋体" w:hAnsi="宋体"/>
          <w:sz w:val="32"/>
          <w:szCs w:val="32"/>
          <w:color w:val="auto"/>
        </w:rPr>
        <w:t>小时以下和</w:t>
      </w:r>
      <w:r>
        <w:rPr>
          <w:rFonts w:ascii="Calibri" w:cs="Calibri" w:eastAsia="Calibri" w:hAnsi="Calibri"/>
          <w:sz w:val="32"/>
          <w:szCs w:val="32"/>
          <w:color w:val="auto"/>
        </w:rPr>
        <w:t xml:space="preserve"> 1.1 </w:t>
      </w:r>
      <w:r>
        <w:rPr>
          <w:rFonts w:ascii="宋体" w:cs="宋体" w:eastAsia="宋体" w:hAnsi="宋体"/>
          <w:sz w:val="32"/>
          <w:szCs w:val="32"/>
          <w:color w:val="auto"/>
        </w:rPr>
        <w:t>小时以下。二是深入推进</w:t>
      </w:r>
      <w:r>
        <w:rPr>
          <w:rFonts w:ascii="Arial" w:cs="Arial" w:eastAsia="Arial" w:hAnsi="Arial"/>
          <w:sz w:val="32"/>
          <w:szCs w:val="32"/>
          <w:color w:val="auto"/>
        </w:rPr>
        <w:t>“</w:t>
      </w:r>
      <w:r>
        <w:rPr>
          <w:rFonts w:ascii="宋体" w:cs="宋体" w:eastAsia="宋体" w:hAnsi="宋体"/>
          <w:sz w:val="32"/>
          <w:szCs w:val="32"/>
          <w:color w:val="auto"/>
        </w:rPr>
        <w:t>提前申报</w:t>
      </w:r>
      <w:r>
        <w:rPr>
          <w:rFonts w:ascii="Arial" w:cs="Arial" w:eastAsia="Arial" w:hAnsi="Arial"/>
          <w:sz w:val="32"/>
          <w:szCs w:val="32"/>
          <w:color w:val="auto"/>
        </w:rPr>
        <w:t>”“</w:t>
      </w:r>
      <w:r>
        <w:rPr>
          <w:rFonts w:ascii="宋体" w:cs="宋体" w:eastAsia="宋体" w:hAnsi="宋体"/>
          <w:sz w:val="32"/>
          <w:szCs w:val="32"/>
          <w:color w:val="auto"/>
        </w:rPr>
        <w:t>两步申报</w:t>
      </w:r>
      <w:r>
        <w:rPr>
          <w:rFonts w:ascii="Arial" w:cs="Arial" w:eastAsia="Arial" w:hAnsi="Arial"/>
          <w:sz w:val="32"/>
          <w:szCs w:val="32"/>
          <w:color w:val="auto"/>
        </w:rPr>
        <w:t>”</w:t>
      </w:r>
      <w:r>
        <w:rPr>
          <w:rFonts w:ascii="宋体" w:cs="宋体" w:eastAsia="宋体" w:hAnsi="宋体"/>
          <w:sz w:val="32"/>
          <w:szCs w:val="32"/>
          <w:color w:val="auto"/>
        </w:rPr>
        <w:t>，保障企业进口货物</w:t>
      </w:r>
      <w:r>
        <w:rPr>
          <w:rFonts w:ascii="Arial" w:cs="Arial" w:eastAsia="Arial" w:hAnsi="Arial"/>
          <w:sz w:val="32"/>
          <w:szCs w:val="32"/>
          <w:color w:val="auto"/>
        </w:rPr>
        <w:t>“</w:t>
      </w:r>
      <w:r>
        <w:rPr>
          <w:rFonts w:ascii="宋体" w:cs="宋体" w:eastAsia="宋体" w:hAnsi="宋体"/>
          <w:sz w:val="32"/>
          <w:szCs w:val="32"/>
          <w:color w:val="auto"/>
        </w:rPr>
        <w:t>船边直提</w:t>
      </w:r>
      <w:r>
        <w:rPr>
          <w:rFonts w:ascii="Arial" w:cs="Arial" w:eastAsia="Arial" w:hAnsi="Arial"/>
          <w:sz w:val="32"/>
          <w:szCs w:val="32"/>
          <w:color w:val="auto"/>
        </w:rPr>
        <w:t>”</w:t>
      </w:r>
      <w:r>
        <w:rPr>
          <w:rFonts w:ascii="宋体" w:cs="宋体" w:eastAsia="宋体" w:hAnsi="宋体"/>
          <w:sz w:val="32"/>
          <w:szCs w:val="32"/>
          <w:color w:val="auto"/>
        </w:rPr>
        <w:t>作业效率，压缩整体通关时间。三是优化风险布控规则，降低守法企业和低风险商品查验率。固化疫情期间海关便企查验措施，继续实施预约、延时、下厂、入库等</w:t>
      </w:r>
      <w:r>
        <w:rPr>
          <w:rFonts w:ascii="Arial" w:cs="Arial" w:eastAsia="Arial" w:hAnsi="Arial"/>
          <w:sz w:val="32"/>
          <w:szCs w:val="32"/>
          <w:color w:val="auto"/>
        </w:rPr>
        <w:t>“</w:t>
      </w:r>
      <w:r>
        <w:rPr>
          <w:rFonts w:ascii="宋体" w:cs="宋体" w:eastAsia="宋体" w:hAnsi="宋体"/>
          <w:sz w:val="32"/>
          <w:szCs w:val="32"/>
          <w:color w:val="auto"/>
        </w:rPr>
        <w:t>灵活查验</w:t>
      </w:r>
      <w:r>
        <w:rPr>
          <w:rFonts w:ascii="Arial" w:cs="Arial" w:eastAsia="Arial" w:hAnsi="Arial"/>
          <w:sz w:val="32"/>
          <w:szCs w:val="32"/>
          <w:color w:val="auto"/>
        </w:rPr>
        <w:t>”</w:t>
      </w:r>
      <w:r>
        <w:rPr>
          <w:rFonts w:ascii="宋体" w:cs="宋体" w:eastAsia="宋体" w:hAnsi="宋体"/>
          <w:sz w:val="32"/>
          <w:szCs w:val="32"/>
          <w:color w:val="auto"/>
        </w:rPr>
        <w:t>方式，允许企业采取委托或不到场等</w:t>
      </w:r>
      <w:r>
        <w:rPr>
          <w:rFonts w:ascii="Arial" w:cs="Arial" w:eastAsia="Arial" w:hAnsi="Arial"/>
          <w:sz w:val="32"/>
          <w:szCs w:val="32"/>
          <w:color w:val="auto"/>
        </w:rPr>
        <w:t>“</w:t>
      </w:r>
      <w:r>
        <w:rPr>
          <w:rFonts w:ascii="宋体" w:cs="宋体" w:eastAsia="宋体" w:hAnsi="宋体"/>
          <w:sz w:val="32"/>
          <w:szCs w:val="32"/>
          <w:color w:val="auto"/>
        </w:rPr>
        <w:t>无陪同查验</w:t>
      </w:r>
      <w:r>
        <w:rPr>
          <w:rFonts w:ascii="Arial" w:cs="Arial" w:eastAsia="Arial" w:hAnsi="Arial"/>
          <w:sz w:val="32"/>
          <w:szCs w:val="32"/>
          <w:color w:val="auto"/>
        </w:rPr>
        <w:t>”</w:t>
      </w:r>
      <w:r>
        <w:rPr>
          <w:rFonts w:ascii="宋体" w:cs="宋体" w:eastAsia="宋体" w:hAnsi="宋体"/>
          <w:sz w:val="32"/>
          <w:szCs w:val="32"/>
          <w:color w:val="auto"/>
        </w:rPr>
        <w:t>方式，减少货物搬倒和查验时间。四是创新推进京津海关高级认证企业便利化措施互认，实现两地高级认证企业免担保等优惠待遇跨关区共享。五是提高本市航空货运中转效率，提升国际邮件分拣能力。</w:t>
      </w:r>
    </w:p>
    <w:p>
      <w:pPr>
        <w:spacing w:after="0" w:line="208" w:lineRule="exact"/>
        <w:rPr>
          <w:sz w:val="20"/>
          <w:szCs w:val="20"/>
          <w:color w:val="auto"/>
        </w:rPr>
      </w:pPr>
    </w:p>
    <w:p>
      <w:pPr>
        <w:ind w:left="1000"/>
        <w:spacing w:after="0" w:line="406" w:lineRule="exact"/>
        <w:rPr>
          <w:sz w:val="20"/>
          <w:szCs w:val="20"/>
          <w:color w:val="auto"/>
        </w:rPr>
      </w:pPr>
      <w:r>
        <w:rPr>
          <w:rFonts w:ascii="Calibri" w:cs="Calibri" w:eastAsia="Calibri" w:hAnsi="Calibri"/>
          <w:sz w:val="32"/>
          <w:szCs w:val="32"/>
          <w:color w:val="auto"/>
        </w:rPr>
        <w:t>2.</w:t>
      </w:r>
      <w:r>
        <w:rPr>
          <w:rFonts w:ascii="宋体" w:cs="宋体" w:eastAsia="宋体" w:hAnsi="宋体"/>
          <w:sz w:val="32"/>
          <w:szCs w:val="32"/>
          <w:color w:val="auto"/>
        </w:rPr>
        <w:t>减轻进出口企业负担。一是打造公开、透明的口岸通</w:t>
      </w:r>
    </w:p>
    <w:p>
      <w:pPr>
        <w:spacing w:after="0" w:line="193" w:lineRule="exact"/>
        <w:rPr>
          <w:sz w:val="20"/>
          <w:szCs w:val="20"/>
          <w:color w:val="auto"/>
        </w:rPr>
      </w:pPr>
    </w:p>
    <w:p>
      <w:pPr>
        <w:jc w:val="both"/>
        <w:ind w:left="360" w:right="346"/>
        <w:spacing w:after="0" w:line="518" w:lineRule="exact"/>
        <w:rPr>
          <w:sz w:val="20"/>
          <w:szCs w:val="20"/>
          <w:color w:val="auto"/>
        </w:rPr>
      </w:pPr>
      <w:r>
        <w:rPr>
          <w:rFonts w:ascii="宋体" w:cs="宋体" w:eastAsia="宋体" w:hAnsi="宋体"/>
          <w:sz w:val="31"/>
          <w:szCs w:val="31"/>
          <w:color w:val="auto"/>
        </w:rPr>
        <w:t>关环境，引导企业主动披露违规行为，降低通关成本，口岸通关综合费用压缩</w:t>
      </w:r>
      <w:r>
        <w:rPr>
          <w:rFonts w:ascii="Calibri" w:cs="Calibri" w:eastAsia="Calibri" w:hAnsi="Calibri"/>
          <w:sz w:val="31"/>
          <w:szCs w:val="31"/>
          <w:color w:val="auto"/>
        </w:rPr>
        <w:t xml:space="preserve"> 20%</w:t>
      </w:r>
      <w:r>
        <w:rPr>
          <w:rFonts w:ascii="宋体" w:cs="宋体" w:eastAsia="宋体" w:hAnsi="宋体"/>
          <w:sz w:val="31"/>
          <w:szCs w:val="31"/>
          <w:color w:val="auto"/>
        </w:rPr>
        <w:t>以上。二是线上线下同步公开空港口岸经营服务收费清单，实现收费项目定期更新、在线查询，做到清单之外无收费。三是提高外贸企业资金周转率，将办理出口退税业务平均时间压减至</w:t>
      </w:r>
      <w:r>
        <w:rPr>
          <w:rFonts w:ascii="Calibri" w:cs="Calibri" w:eastAsia="Calibri" w:hAnsi="Calibri"/>
          <w:sz w:val="31"/>
          <w:szCs w:val="31"/>
          <w:color w:val="auto"/>
        </w:rPr>
        <w:t xml:space="preserve"> 6 </w:t>
      </w:r>
      <w:r>
        <w:rPr>
          <w:rFonts w:ascii="宋体" w:cs="宋体" w:eastAsia="宋体" w:hAnsi="宋体"/>
          <w:sz w:val="31"/>
          <w:szCs w:val="31"/>
          <w:color w:val="auto"/>
        </w:rPr>
        <w:t>个工作日以内；全面推行出口退税无纸化。四是对于主动报告存在涉及关税违规情况</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4380"/>
        <w:spacing w:after="0" w:line="308" w:lineRule="exact"/>
        <w:rPr>
          <w:sz w:val="20"/>
          <w:szCs w:val="20"/>
          <w:color w:val="auto"/>
        </w:rPr>
      </w:pPr>
      <w:r>
        <w:rPr>
          <w:rFonts w:ascii="宋体" w:cs="宋体" w:eastAsia="宋体" w:hAnsi="宋体"/>
          <w:sz w:val="27"/>
          <w:szCs w:val="27"/>
          <w:color w:val="auto"/>
        </w:rPr>
        <w:t>- 30 -</w:t>
      </w:r>
    </w:p>
    <w:p>
      <w:pPr>
        <w:sectPr>
          <w:pgSz w:w="11900" w:h="16838" w:orient="portrait"/>
          <w:cols w:equalWidth="0" w:num="1">
            <w:col w:w="9026"/>
          </w:cols>
          <w:pgMar w:left="1440" w:top="1440" w:right="1440" w:bottom="500" w:gutter="0" w:footer="0" w:header="0"/>
          <w:type w:val="continuous"/>
        </w:sectPr>
      </w:pPr>
    </w:p>
    <w:bookmarkStart w:id="32" w:name="page33"/>
    <w:bookmarkEnd w:id="32"/>
    <w:p>
      <w:pPr>
        <w:spacing w:after="0" w:line="177" w:lineRule="exact"/>
        <w:rPr>
          <w:sz w:val="20"/>
          <w:szCs w:val="20"/>
          <w:color w:val="auto"/>
        </w:rPr>
      </w:pPr>
    </w:p>
    <w:p>
      <w:pPr>
        <w:jc w:val="both"/>
        <w:ind w:left="360" w:right="346"/>
        <w:spacing w:after="0" w:line="478" w:lineRule="exact"/>
        <w:rPr>
          <w:sz w:val="20"/>
          <w:szCs w:val="20"/>
          <w:color w:val="auto"/>
        </w:rPr>
      </w:pPr>
      <w:r>
        <w:rPr>
          <w:rFonts w:ascii="宋体" w:cs="宋体" w:eastAsia="宋体" w:hAnsi="宋体"/>
          <w:sz w:val="31"/>
          <w:szCs w:val="31"/>
          <w:color w:val="auto"/>
        </w:rPr>
        <w:t>的企业，经确认属于企业主动披露处置范围的，可从轻、减轻或免予行政处罚；企业在货物放行后通过自查发现少缴、漏缴税款，主动披露并补缴的，可依法减免税款滞纳金。</w:t>
      </w:r>
    </w:p>
    <w:p>
      <w:pPr>
        <w:spacing w:after="0" w:line="213" w:lineRule="exact"/>
        <w:rPr>
          <w:sz w:val="20"/>
          <w:szCs w:val="20"/>
          <w:color w:val="auto"/>
        </w:rPr>
      </w:pPr>
    </w:p>
    <w:p>
      <w:pPr>
        <w:ind w:left="360" w:right="206" w:firstLine="641"/>
        <w:spacing w:after="0" w:line="546" w:lineRule="exact"/>
        <w:rPr>
          <w:sz w:val="20"/>
          <w:szCs w:val="20"/>
          <w:color w:val="auto"/>
        </w:rPr>
      </w:pPr>
      <w:r>
        <w:rPr>
          <w:rFonts w:ascii="Calibri" w:cs="Calibri" w:eastAsia="Calibri" w:hAnsi="Calibri"/>
          <w:sz w:val="32"/>
          <w:szCs w:val="32"/>
          <w:color w:val="auto"/>
        </w:rPr>
        <w:t>3.</w:t>
      </w:r>
      <w:r>
        <w:rPr>
          <w:rFonts w:ascii="宋体" w:cs="宋体" w:eastAsia="宋体" w:hAnsi="宋体"/>
          <w:sz w:val="32"/>
          <w:szCs w:val="32"/>
          <w:color w:val="auto"/>
        </w:rPr>
        <w:t>拓展国际贸易</w:t>
      </w:r>
      <w:r>
        <w:rPr>
          <w:rFonts w:ascii="Arial" w:cs="Arial" w:eastAsia="Arial" w:hAnsi="Arial"/>
          <w:sz w:val="32"/>
          <w:szCs w:val="32"/>
          <w:color w:val="auto"/>
        </w:rPr>
        <w:t>“</w:t>
      </w:r>
      <w:r>
        <w:rPr>
          <w:rFonts w:ascii="宋体" w:cs="宋体" w:eastAsia="宋体" w:hAnsi="宋体"/>
          <w:sz w:val="32"/>
          <w:szCs w:val="32"/>
          <w:color w:val="auto"/>
        </w:rPr>
        <w:t>单一窗口</w:t>
      </w:r>
      <w:r>
        <w:rPr>
          <w:rFonts w:ascii="Arial" w:cs="Arial" w:eastAsia="Arial" w:hAnsi="Arial"/>
          <w:sz w:val="32"/>
          <w:szCs w:val="32"/>
          <w:color w:val="auto"/>
        </w:rPr>
        <w:t>”</w:t>
      </w:r>
      <w:r>
        <w:rPr>
          <w:rFonts w:ascii="宋体" w:cs="宋体" w:eastAsia="宋体" w:hAnsi="宋体"/>
          <w:sz w:val="32"/>
          <w:szCs w:val="32"/>
          <w:color w:val="auto"/>
        </w:rPr>
        <w:t>功能。加快</w:t>
      </w:r>
      <w:r>
        <w:rPr>
          <w:rFonts w:ascii="Arial" w:cs="Arial" w:eastAsia="Arial" w:hAnsi="Arial"/>
          <w:sz w:val="32"/>
          <w:szCs w:val="32"/>
          <w:color w:val="auto"/>
        </w:rPr>
        <w:t>“</w:t>
      </w:r>
      <w:r>
        <w:rPr>
          <w:rFonts w:ascii="宋体" w:cs="宋体" w:eastAsia="宋体" w:hAnsi="宋体"/>
          <w:sz w:val="32"/>
          <w:szCs w:val="32"/>
          <w:color w:val="auto"/>
        </w:rPr>
        <w:t>单一窗口</w:t>
      </w:r>
      <w:r>
        <w:rPr>
          <w:rFonts w:ascii="Arial" w:cs="Arial" w:eastAsia="Arial" w:hAnsi="Arial"/>
          <w:sz w:val="32"/>
          <w:szCs w:val="32"/>
          <w:color w:val="auto"/>
        </w:rPr>
        <w:t>”</w:t>
      </w:r>
      <w:r>
        <w:rPr>
          <w:rFonts w:ascii="宋体" w:cs="宋体" w:eastAsia="宋体" w:hAnsi="宋体"/>
          <w:sz w:val="32"/>
          <w:szCs w:val="32"/>
          <w:color w:val="auto"/>
        </w:rPr>
        <w:t>功能由口岸通关执法向物流、贸易服务等全链条扩展。一是在</w:t>
      </w:r>
      <w:r>
        <w:rPr>
          <w:rFonts w:ascii="Arial" w:cs="Arial" w:eastAsia="Arial" w:hAnsi="Arial"/>
          <w:sz w:val="32"/>
          <w:szCs w:val="32"/>
          <w:color w:val="auto"/>
        </w:rPr>
        <w:t>“</w:t>
      </w:r>
      <w:r>
        <w:rPr>
          <w:rFonts w:ascii="宋体" w:cs="宋体" w:eastAsia="宋体" w:hAnsi="宋体"/>
          <w:sz w:val="32"/>
          <w:szCs w:val="32"/>
          <w:color w:val="auto"/>
        </w:rPr>
        <w:t>单一窗口</w:t>
      </w:r>
      <w:r>
        <w:rPr>
          <w:rFonts w:ascii="Arial" w:cs="Arial" w:eastAsia="Arial" w:hAnsi="Arial"/>
          <w:sz w:val="32"/>
          <w:szCs w:val="32"/>
          <w:color w:val="auto"/>
        </w:rPr>
        <w:t>”</w:t>
      </w:r>
      <w:r>
        <w:rPr>
          <w:rFonts w:ascii="宋体" w:cs="宋体" w:eastAsia="宋体" w:hAnsi="宋体"/>
          <w:sz w:val="32"/>
          <w:szCs w:val="32"/>
          <w:color w:val="auto"/>
        </w:rPr>
        <w:t>平台增设跨境贸易中介机构服务功能，进出口企业可以对中介机构开展服务评价，并公布评价结果和进口报关业务前</w:t>
      </w:r>
      <w:r>
        <w:rPr>
          <w:rFonts w:ascii="Calibri" w:cs="Calibri" w:eastAsia="Calibri" w:hAnsi="Calibri"/>
          <w:sz w:val="32"/>
          <w:szCs w:val="32"/>
          <w:color w:val="auto"/>
        </w:rPr>
        <w:t xml:space="preserve"> 100 </w:t>
      </w:r>
      <w:r>
        <w:rPr>
          <w:rFonts w:ascii="宋体" w:cs="宋体" w:eastAsia="宋体" w:hAnsi="宋体"/>
          <w:sz w:val="32"/>
          <w:szCs w:val="32"/>
          <w:color w:val="auto"/>
        </w:rPr>
        <w:t>名中介机构通关时间，不断规范和提高服务水平。二是利用区块链技术完善北京空港国际物流应用系统和京津冀海运通关物流查询系统，推进首都机场智慧空港口岸全流程、全环节、全链条、无纸化作业；推动天津港、河北唐山港等地通关物流数据上链，为企业提供</w:t>
      </w:r>
      <w:r>
        <w:rPr>
          <w:rFonts w:ascii="Arial" w:cs="Arial" w:eastAsia="Arial" w:hAnsi="Arial"/>
          <w:sz w:val="32"/>
          <w:szCs w:val="32"/>
          <w:color w:val="auto"/>
        </w:rPr>
        <w:t>“</w:t>
      </w:r>
      <w:r>
        <w:rPr>
          <w:rFonts w:ascii="宋体" w:cs="宋体" w:eastAsia="宋体" w:hAnsi="宋体"/>
          <w:sz w:val="32"/>
          <w:szCs w:val="32"/>
          <w:color w:val="auto"/>
        </w:rPr>
        <w:t>通关</w:t>
      </w:r>
      <w:r>
        <w:rPr>
          <w:rFonts w:ascii="Calibri" w:cs="Calibri" w:eastAsia="Calibri" w:hAnsi="Calibri"/>
          <w:sz w:val="32"/>
          <w:szCs w:val="32"/>
          <w:color w:val="auto"/>
        </w:rPr>
        <w:t>+</w:t>
      </w:r>
      <w:r>
        <w:rPr>
          <w:rFonts w:ascii="宋体" w:cs="宋体" w:eastAsia="宋体" w:hAnsi="宋体"/>
          <w:sz w:val="32"/>
          <w:szCs w:val="32"/>
          <w:color w:val="auto"/>
        </w:rPr>
        <w:t>物流</w:t>
      </w:r>
      <w:r>
        <w:rPr>
          <w:rFonts w:ascii="Arial" w:cs="Arial" w:eastAsia="Arial" w:hAnsi="Arial"/>
          <w:sz w:val="32"/>
          <w:szCs w:val="32"/>
          <w:color w:val="auto"/>
        </w:rPr>
        <w:t>”</w:t>
      </w:r>
      <w:r>
        <w:rPr>
          <w:rFonts w:ascii="宋体" w:cs="宋体" w:eastAsia="宋体" w:hAnsi="宋体"/>
          <w:sz w:val="32"/>
          <w:szCs w:val="32"/>
          <w:color w:val="auto"/>
        </w:rPr>
        <w:t>实时查询服务。三是强化商务、税务、海关、人民银行、外汇等部门数据共享，推动银行、保险等金融机构利用</w:t>
      </w:r>
      <w:r>
        <w:rPr>
          <w:rFonts w:ascii="Arial" w:cs="Arial" w:eastAsia="Arial" w:hAnsi="Arial"/>
          <w:sz w:val="32"/>
          <w:szCs w:val="32"/>
          <w:color w:val="auto"/>
        </w:rPr>
        <w:t>“</w:t>
      </w:r>
      <w:r>
        <w:rPr>
          <w:rFonts w:ascii="宋体" w:cs="宋体" w:eastAsia="宋体" w:hAnsi="宋体"/>
          <w:sz w:val="32"/>
          <w:szCs w:val="32"/>
          <w:color w:val="auto"/>
        </w:rPr>
        <w:t>单一窗口</w:t>
      </w:r>
      <w:r>
        <w:rPr>
          <w:rFonts w:ascii="Arial" w:cs="Arial" w:eastAsia="Arial" w:hAnsi="Arial"/>
          <w:sz w:val="32"/>
          <w:szCs w:val="32"/>
          <w:color w:val="auto"/>
        </w:rPr>
        <w:t>”</w:t>
      </w:r>
      <w:r>
        <w:rPr>
          <w:rFonts w:ascii="宋体" w:cs="宋体" w:eastAsia="宋体" w:hAnsi="宋体"/>
          <w:sz w:val="32"/>
          <w:szCs w:val="32"/>
          <w:color w:val="auto"/>
        </w:rPr>
        <w:t>大数据精准分析，为企业快速提供关税保函、关税保证保险等金融产品，减轻企业现金流压力。四是开通报关绿色通道，为</w:t>
      </w:r>
      <w:r>
        <w:rPr>
          <w:rFonts w:ascii="Calibri" w:cs="Calibri" w:eastAsia="Calibri" w:hAnsi="Calibri"/>
          <w:sz w:val="32"/>
          <w:szCs w:val="32"/>
          <w:color w:val="auto"/>
        </w:rPr>
        <w:t xml:space="preserve"> 2022 </w:t>
      </w:r>
      <w:r>
        <w:rPr>
          <w:rFonts w:ascii="宋体" w:cs="宋体" w:eastAsia="宋体" w:hAnsi="宋体"/>
          <w:sz w:val="32"/>
          <w:szCs w:val="32"/>
          <w:color w:val="auto"/>
        </w:rPr>
        <w:t>年冬奥会、冬残奥会等国际活动设立物资通关服务专区，实现即查即放。</w:t>
      </w:r>
    </w:p>
    <w:p>
      <w:pPr>
        <w:spacing w:after="0" w:line="224" w:lineRule="exact"/>
        <w:rPr>
          <w:sz w:val="20"/>
          <w:szCs w:val="20"/>
          <w:color w:val="auto"/>
        </w:rPr>
      </w:pPr>
    </w:p>
    <w:p>
      <w:pPr>
        <w:jc w:val="both"/>
        <w:ind w:left="360" w:right="366" w:firstLine="641"/>
        <w:spacing w:after="0" w:line="524" w:lineRule="exact"/>
        <w:rPr>
          <w:sz w:val="20"/>
          <w:szCs w:val="20"/>
          <w:color w:val="auto"/>
        </w:rPr>
      </w:pPr>
      <w:r>
        <w:rPr>
          <w:rFonts w:ascii="Calibri" w:cs="Calibri" w:eastAsia="Calibri" w:hAnsi="Calibri"/>
          <w:sz w:val="31"/>
          <w:szCs w:val="31"/>
          <w:color w:val="auto"/>
        </w:rPr>
        <w:t>4.</w:t>
      </w:r>
      <w:r>
        <w:rPr>
          <w:rFonts w:ascii="宋体" w:cs="宋体" w:eastAsia="宋体" w:hAnsi="宋体"/>
          <w:sz w:val="31"/>
          <w:szCs w:val="31"/>
          <w:color w:val="auto"/>
        </w:rPr>
        <w:t>提升企业双向投资兴业便利度。一是探索建立外商投资一站式服务体系，实现外资企业一次登录、一次认证、一次提交材料，即可办理企业注册、预约开户、外汇登记等高频事项；外籍法定代表人可以委托他人或者远程视频进行税务实名认证。二是进一步简化境外投资管理流程，实现境外投资备案</w:t>
      </w:r>
      <w:r>
        <w:rPr>
          <w:rFonts w:ascii="Arial" w:cs="Arial" w:eastAsia="Arial" w:hAnsi="Arial"/>
          <w:sz w:val="31"/>
          <w:szCs w:val="31"/>
          <w:color w:val="auto"/>
        </w:rPr>
        <w:t>“</w:t>
      </w:r>
      <w:r>
        <w:rPr>
          <w:rFonts w:ascii="宋体" w:cs="宋体" w:eastAsia="宋体" w:hAnsi="宋体"/>
          <w:sz w:val="31"/>
          <w:szCs w:val="31"/>
          <w:color w:val="auto"/>
        </w:rPr>
        <w:t>全程网办</w:t>
      </w:r>
      <w:r>
        <w:rPr>
          <w:rFonts w:ascii="Arial" w:cs="Arial" w:eastAsia="Arial" w:hAnsi="Arial"/>
          <w:sz w:val="31"/>
          <w:szCs w:val="31"/>
          <w:color w:val="auto"/>
        </w:rPr>
        <w:t>”</w:t>
      </w:r>
      <w:r>
        <w:rPr>
          <w:rFonts w:ascii="宋体" w:cs="宋体" w:eastAsia="宋体" w:hAnsi="宋体"/>
          <w:sz w:val="31"/>
          <w:szCs w:val="31"/>
          <w:color w:val="auto"/>
        </w:rPr>
        <w:t>；提升区级外商投资企业注册登记</w:t>
      </w:r>
      <w:r>
        <w:rPr>
          <w:rFonts w:ascii="Arial" w:cs="Arial" w:eastAsia="Arial" w:hAnsi="Arial"/>
          <w:sz w:val="31"/>
          <w:szCs w:val="31"/>
          <w:color w:val="auto"/>
        </w:rPr>
        <w:t>“</w:t>
      </w:r>
      <w:r>
        <w:rPr>
          <w:rFonts w:ascii="宋体" w:cs="宋体" w:eastAsia="宋体" w:hAnsi="宋体"/>
          <w:sz w:val="31"/>
          <w:szCs w:val="31"/>
          <w:color w:val="auto"/>
        </w:rPr>
        <w:t>一</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ind w:left="4380"/>
        <w:spacing w:after="0" w:line="308" w:lineRule="exact"/>
        <w:rPr>
          <w:sz w:val="20"/>
          <w:szCs w:val="20"/>
          <w:color w:val="auto"/>
        </w:rPr>
      </w:pPr>
      <w:r>
        <w:rPr>
          <w:rFonts w:ascii="宋体" w:cs="宋体" w:eastAsia="宋体" w:hAnsi="宋体"/>
          <w:sz w:val="27"/>
          <w:szCs w:val="27"/>
          <w:color w:val="auto"/>
        </w:rPr>
        <w:t>- 31 -</w:t>
      </w:r>
    </w:p>
    <w:p>
      <w:pPr>
        <w:sectPr>
          <w:pgSz w:w="11900" w:h="16838" w:orient="portrait"/>
          <w:cols w:equalWidth="0" w:num="1">
            <w:col w:w="9026"/>
          </w:cols>
          <w:pgMar w:left="1440" w:top="1440" w:right="1440" w:bottom="500" w:gutter="0" w:footer="0" w:header="0"/>
          <w:type w:val="continuous"/>
        </w:sectPr>
      </w:pPr>
    </w:p>
    <w:bookmarkStart w:id="33" w:name="page34"/>
    <w:bookmarkEnd w:id="33"/>
    <w:p>
      <w:pPr>
        <w:spacing w:after="0" w:line="177" w:lineRule="exact"/>
        <w:rPr>
          <w:sz w:val="20"/>
          <w:szCs w:val="20"/>
          <w:color w:val="auto"/>
        </w:rPr>
      </w:pPr>
    </w:p>
    <w:p>
      <w:pPr>
        <w:jc w:val="both"/>
        <w:ind w:left="360" w:right="346"/>
        <w:spacing w:after="0" w:line="519" w:lineRule="exact"/>
        <w:rPr>
          <w:sz w:val="20"/>
          <w:szCs w:val="20"/>
          <w:color w:val="auto"/>
        </w:rPr>
      </w:pPr>
      <w:r>
        <w:rPr>
          <w:rFonts w:ascii="宋体" w:cs="宋体" w:eastAsia="宋体" w:hAnsi="宋体"/>
          <w:sz w:val="31"/>
          <w:szCs w:val="31"/>
          <w:color w:val="auto"/>
        </w:rPr>
        <w:t>窗办理</w:t>
      </w:r>
      <w:r>
        <w:rPr>
          <w:rFonts w:ascii="Arial" w:cs="Arial" w:eastAsia="Arial" w:hAnsi="Arial"/>
          <w:sz w:val="31"/>
          <w:szCs w:val="31"/>
          <w:color w:val="auto"/>
        </w:rPr>
        <w:t>”</w:t>
      </w:r>
      <w:r>
        <w:rPr>
          <w:rFonts w:ascii="宋体" w:cs="宋体" w:eastAsia="宋体" w:hAnsi="宋体"/>
          <w:sz w:val="31"/>
          <w:szCs w:val="31"/>
          <w:color w:val="auto"/>
        </w:rPr>
        <w:t>水平。三是探索开展本外币合一跨境资金池试点，对跨境资金流动实行双向宏观审慎管理。四是支持符合条件的外贸综合服务企业为跨境电商提供货物贸易外汇综合服务；允许出口商在境外电商平台销售款项以人民币跨境结算。完善跨境电商进出口退换货便利化管理措施，鼓励引导本市跨境电商企业积极利用海外仓，拓宽国际营销渠道。</w:t>
      </w:r>
    </w:p>
    <w:p>
      <w:pPr>
        <w:spacing w:after="0" w:line="217" w:lineRule="exact"/>
        <w:rPr>
          <w:sz w:val="20"/>
          <w:szCs w:val="20"/>
          <w:color w:val="auto"/>
        </w:rPr>
      </w:pPr>
    </w:p>
    <w:p>
      <w:pPr>
        <w:jc w:val="both"/>
        <w:ind w:left="360" w:right="346" w:firstLine="641"/>
        <w:spacing w:after="0" w:line="525" w:lineRule="exact"/>
        <w:rPr>
          <w:sz w:val="20"/>
          <w:szCs w:val="20"/>
          <w:color w:val="auto"/>
        </w:rPr>
      </w:pPr>
      <w:r>
        <w:rPr>
          <w:rFonts w:ascii="Calibri" w:cs="Calibri" w:eastAsia="Calibri" w:hAnsi="Calibri"/>
          <w:sz w:val="31"/>
          <w:szCs w:val="31"/>
          <w:color w:val="auto"/>
        </w:rPr>
        <w:t>5.</w:t>
      </w:r>
      <w:r>
        <w:rPr>
          <w:rFonts w:ascii="宋体" w:cs="宋体" w:eastAsia="宋体" w:hAnsi="宋体"/>
          <w:sz w:val="31"/>
          <w:szCs w:val="31"/>
          <w:color w:val="auto"/>
        </w:rPr>
        <w:t>提供国际人才工作生活便利。一是全面落实外籍人才工作许可、居留许可审批事项</w:t>
      </w:r>
      <w:r>
        <w:rPr>
          <w:rFonts w:ascii="Arial" w:cs="Arial" w:eastAsia="Arial" w:hAnsi="Arial"/>
          <w:sz w:val="31"/>
          <w:szCs w:val="31"/>
          <w:color w:val="auto"/>
        </w:rPr>
        <w:t>“</w:t>
      </w:r>
      <w:r>
        <w:rPr>
          <w:rFonts w:ascii="宋体" w:cs="宋体" w:eastAsia="宋体" w:hAnsi="宋体"/>
          <w:sz w:val="31"/>
          <w:szCs w:val="31"/>
          <w:color w:val="auto"/>
        </w:rPr>
        <w:t>一窗受理、同时取证</w:t>
      </w:r>
      <w:r>
        <w:rPr>
          <w:rFonts w:ascii="Arial" w:cs="Arial" w:eastAsia="Arial" w:hAnsi="Arial"/>
          <w:sz w:val="31"/>
          <w:szCs w:val="31"/>
          <w:color w:val="auto"/>
        </w:rPr>
        <w:t>”</w:t>
      </w:r>
      <w:r>
        <w:rPr>
          <w:rFonts w:ascii="宋体" w:cs="宋体" w:eastAsia="宋体" w:hAnsi="宋体"/>
          <w:sz w:val="31"/>
          <w:szCs w:val="31"/>
          <w:color w:val="auto"/>
        </w:rPr>
        <w:t>，积极争取持人才签证的外国人才免办工作许可试点。二是允许外籍人员使用外国人永久居留身份证开办和参股内资公司。三是提升北京市政府国际版门户网站服务水平，方便外籍人员精准理解在京投资、工作、留学、生活、旅游等信息。</w:t>
      </w:r>
    </w:p>
    <w:p>
      <w:pPr>
        <w:spacing w:after="0" w:line="19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（四）营造更加稳定的就业环境</w:t>
      </w:r>
    </w:p>
    <w:p>
      <w:pPr>
        <w:spacing w:after="0" w:line="242" w:lineRule="exact"/>
        <w:rPr>
          <w:sz w:val="20"/>
          <w:szCs w:val="20"/>
          <w:color w:val="auto"/>
        </w:rPr>
      </w:pPr>
    </w:p>
    <w:p>
      <w:pPr>
        <w:jc w:val="both"/>
        <w:ind w:left="360" w:right="366" w:firstLine="641"/>
        <w:spacing w:after="0" w:line="499" w:lineRule="exact"/>
        <w:rPr>
          <w:sz w:val="20"/>
          <w:szCs w:val="20"/>
          <w:color w:val="auto"/>
        </w:rPr>
      </w:pPr>
      <w:r>
        <w:rPr>
          <w:rFonts w:ascii="宋体" w:cs="宋体" w:eastAsia="宋体" w:hAnsi="宋体"/>
          <w:sz w:val="32"/>
          <w:szCs w:val="32"/>
          <w:color w:val="auto"/>
        </w:rPr>
        <w:t>加大力度稳定和扩大就业，破除影响就业的各种不合理限制，适应并促进多元化的新就业形态，推动企业技能人才自主评价，因地制宜发展灵活就业、共享用工，进一步提升社会吸纳就业能力。</w:t>
      </w:r>
    </w:p>
    <w:p>
      <w:pPr>
        <w:spacing w:after="0" w:line="209" w:lineRule="exact"/>
        <w:rPr>
          <w:sz w:val="20"/>
          <w:szCs w:val="20"/>
          <w:color w:val="auto"/>
        </w:rPr>
      </w:pPr>
    </w:p>
    <w:p>
      <w:pPr>
        <w:jc w:val="both"/>
        <w:ind w:left="360" w:right="346" w:firstLine="641"/>
        <w:spacing w:after="0" w:line="530" w:lineRule="exact"/>
        <w:rPr>
          <w:sz w:val="20"/>
          <w:szCs w:val="20"/>
          <w:color w:val="auto"/>
        </w:rPr>
      </w:pPr>
      <w:r>
        <w:rPr>
          <w:rFonts w:ascii="Calibri" w:cs="Calibri" w:eastAsia="Calibri" w:hAnsi="Calibri"/>
          <w:sz w:val="31"/>
          <w:szCs w:val="31"/>
          <w:color w:val="auto"/>
        </w:rPr>
        <w:t>1.</w:t>
      </w:r>
      <w:r>
        <w:rPr>
          <w:rFonts w:ascii="宋体" w:cs="宋体" w:eastAsia="宋体" w:hAnsi="宋体"/>
          <w:sz w:val="31"/>
          <w:szCs w:val="31"/>
          <w:color w:val="auto"/>
        </w:rPr>
        <w:t>降低和简化部分行业就业条件。一是推动取消除道路危险货物运输以外的道路货物运输驾驶员从业资格考试，驾驶员可凭《经营性道路货物运输驾驶员培训结业证书》和相应车型的机动车驾驶证等证件申领道路货物运输驾驶员从业资格证。二是按照国家规定改革执业兽医资格考试制度，允许兽医相关专业高校在校生报名参加考试并按规定取得证书。三是推动劳动者在本市二级及以上医疗机构入职体检</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ind w:left="4380"/>
        <w:spacing w:after="0" w:line="308" w:lineRule="exact"/>
        <w:rPr>
          <w:sz w:val="20"/>
          <w:szCs w:val="20"/>
          <w:color w:val="auto"/>
        </w:rPr>
      </w:pPr>
      <w:r>
        <w:rPr>
          <w:rFonts w:ascii="宋体" w:cs="宋体" w:eastAsia="宋体" w:hAnsi="宋体"/>
          <w:sz w:val="27"/>
          <w:szCs w:val="27"/>
          <w:color w:val="auto"/>
        </w:rPr>
        <w:t>- 32 -</w:t>
      </w:r>
    </w:p>
    <w:p>
      <w:pPr>
        <w:sectPr>
          <w:pgSz w:w="11900" w:h="16838" w:orient="portrait"/>
          <w:cols w:equalWidth="0" w:num="1">
            <w:col w:w="9026"/>
          </w:cols>
          <w:pgMar w:left="1440" w:top="1440" w:right="1440" w:bottom="500" w:gutter="0" w:footer="0" w:header="0"/>
          <w:type w:val="continuous"/>
        </w:sectPr>
      </w:pPr>
    </w:p>
    <w:bookmarkStart w:id="34" w:name="page35"/>
    <w:bookmarkEnd w:id="34"/>
    <w:p>
      <w:pPr>
        <w:spacing w:after="0" w:line="177" w:lineRule="exact"/>
        <w:rPr>
          <w:sz w:val="20"/>
          <w:szCs w:val="20"/>
          <w:color w:val="auto"/>
        </w:rPr>
      </w:pPr>
    </w:p>
    <w:p>
      <w:pPr>
        <w:jc w:val="both"/>
        <w:ind w:left="360" w:right="346"/>
        <w:spacing w:after="0" w:line="510" w:lineRule="exact"/>
        <w:rPr>
          <w:sz w:val="20"/>
          <w:szCs w:val="20"/>
          <w:color w:val="auto"/>
        </w:rPr>
      </w:pPr>
      <w:r>
        <w:rPr>
          <w:rFonts w:ascii="宋体" w:cs="宋体" w:eastAsia="宋体" w:hAnsi="宋体"/>
          <w:sz w:val="31"/>
          <w:szCs w:val="31"/>
          <w:color w:val="auto"/>
        </w:rPr>
        <w:t>结果实现互认。四是加快推进职业资格改革，按照国家规定取消水平评价类技能人员职业资格；全面推进企业职业技能等级认定工作，支持企业依据国家职业技能标准自主开展技能人才评定，形成以市场为导向的技能人才培养使用机制。五是简化就业手续，推动取消应届高校毕业生报到证。</w:t>
      </w:r>
    </w:p>
    <w:p>
      <w:pPr>
        <w:spacing w:after="0" w:line="215" w:lineRule="exact"/>
        <w:rPr>
          <w:sz w:val="20"/>
          <w:szCs w:val="20"/>
          <w:color w:val="auto"/>
        </w:rPr>
      </w:pPr>
    </w:p>
    <w:p>
      <w:pPr>
        <w:ind w:left="360" w:right="186" w:firstLine="641"/>
        <w:spacing w:after="0" w:line="544" w:lineRule="exact"/>
        <w:rPr>
          <w:sz w:val="20"/>
          <w:szCs w:val="20"/>
          <w:color w:val="auto"/>
        </w:rPr>
      </w:pPr>
      <w:r>
        <w:rPr>
          <w:rFonts w:ascii="Calibri" w:cs="Calibri" w:eastAsia="Calibri" w:hAnsi="Calibri"/>
          <w:sz w:val="32"/>
          <w:szCs w:val="32"/>
          <w:color w:val="auto"/>
        </w:rPr>
        <w:t>2.</w:t>
      </w:r>
      <w:r>
        <w:rPr>
          <w:rFonts w:ascii="宋体" w:cs="宋体" w:eastAsia="宋体" w:hAnsi="宋体"/>
          <w:sz w:val="32"/>
          <w:szCs w:val="32"/>
          <w:color w:val="auto"/>
        </w:rPr>
        <w:t>促进人才流动和灵活就业。进一步深化职称评审、共享用工、社会保险等领域改革，鼓励人才要素自由流动，支持多渠道灵活就业。一是实现职称考评申报、审核和缴费</w:t>
      </w:r>
      <w:r>
        <w:rPr>
          <w:rFonts w:ascii="Arial" w:cs="Arial" w:eastAsia="Arial" w:hAnsi="Arial"/>
          <w:sz w:val="32"/>
          <w:szCs w:val="32"/>
          <w:color w:val="auto"/>
        </w:rPr>
        <w:t>“</w:t>
      </w:r>
      <w:r>
        <w:rPr>
          <w:rFonts w:ascii="宋体" w:cs="宋体" w:eastAsia="宋体" w:hAnsi="宋体"/>
          <w:sz w:val="32"/>
          <w:szCs w:val="32"/>
          <w:color w:val="auto"/>
        </w:rPr>
        <w:t>全程网办</w:t>
      </w:r>
      <w:r>
        <w:rPr>
          <w:rFonts w:ascii="Arial" w:cs="Arial" w:eastAsia="Arial" w:hAnsi="Arial"/>
          <w:sz w:val="32"/>
          <w:szCs w:val="32"/>
          <w:color w:val="auto"/>
        </w:rPr>
        <w:t>”</w:t>
      </w:r>
      <w:r>
        <w:rPr>
          <w:rFonts w:ascii="宋体" w:cs="宋体" w:eastAsia="宋体" w:hAnsi="宋体"/>
          <w:sz w:val="32"/>
          <w:szCs w:val="32"/>
          <w:color w:val="auto"/>
        </w:rPr>
        <w:t>，推行职称和资格证书电子化。实行京津冀职称评审结果互认，拓展三地职称资格互认范围和领域。二是加强就业服务，将灵活就业、共享用工岗位信息纳入公共就业服务范围，对设立劳务市场或零工市场给予支持、提供便利；建立市场化服务平台，引导有需求的企业开展</w:t>
      </w:r>
      <w:r>
        <w:rPr>
          <w:rFonts w:ascii="Arial" w:cs="Arial" w:eastAsia="Arial" w:hAnsi="Arial"/>
          <w:sz w:val="32"/>
          <w:szCs w:val="32"/>
          <w:color w:val="auto"/>
        </w:rPr>
        <w:t>“</w:t>
      </w:r>
      <w:r>
        <w:rPr>
          <w:rFonts w:ascii="宋体" w:cs="宋体" w:eastAsia="宋体" w:hAnsi="宋体"/>
          <w:sz w:val="32"/>
          <w:szCs w:val="32"/>
          <w:color w:val="auto"/>
        </w:rPr>
        <w:t>共享用工</w:t>
      </w:r>
      <w:r>
        <w:rPr>
          <w:rFonts w:ascii="Arial" w:cs="Arial" w:eastAsia="Arial" w:hAnsi="Arial"/>
          <w:sz w:val="32"/>
          <w:szCs w:val="32"/>
          <w:color w:val="auto"/>
        </w:rPr>
        <w:t>”</w:t>
      </w:r>
      <w:r>
        <w:rPr>
          <w:rFonts w:ascii="宋体" w:cs="宋体" w:eastAsia="宋体" w:hAnsi="宋体"/>
          <w:sz w:val="32"/>
          <w:szCs w:val="32"/>
          <w:color w:val="auto"/>
        </w:rPr>
        <w:t>，提高人力资源配置效率。实现流动人员人事档案信息互联，加快推进</w:t>
      </w:r>
      <w:r>
        <w:rPr>
          <w:rFonts w:ascii="Arial" w:cs="Arial" w:eastAsia="Arial" w:hAnsi="Arial"/>
          <w:sz w:val="32"/>
          <w:szCs w:val="32"/>
          <w:color w:val="auto"/>
        </w:rPr>
        <w:t>“</w:t>
      </w:r>
      <w:r>
        <w:rPr>
          <w:rFonts w:ascii="宋体" w:cs="宋体" w:eastAsia="宋体" w:hAnsi="宋体"/>
          <w:sz w:val="32"/>
          <w:szCs w:val="32"/>
          <w:color w:val="auto"/>
        </w:rPr>
        <w:t>一点存档、多点服务</w:t>
      </w:r>
      <w:r>
        <w:rPr>
          <w:rFonts w:ascii="Arial" w:cs="Arial" w:eastAsia="Arial" w:hAnsi="Arial"/>
          <w:sz w:val="32"/>
          <w:szCs w:val="32"/>
          <w:color w:val="auto"/>
        </w:rPr>
        <w:t>”</w:t>
      </w:r>
      <w:r>
        <w:rPr>
          <w:rFonts w:ascii="宋体" w:cs="宋体" w:eastAsia="宋体" w:hAnsi="宋体"/>
          <w:sz w:val="32"/>
          <w:szCs w:val="32"/>
          <w:color w:val="auto"/>
        </w:rPr>
        <w:t>。三是推进实施城乡统一失业保险制度，实现农村户籍人员与城镇户籍人员享受同等失业保险待遇。出台灵活就业人员参保相关政策，加快推动本市户籍的各类灵活就业人员参加社会保险。</w:t>
      </w:r>
    </w:p>
    <w:p>
      <w:pPr>
        <w:spacing w:after="0" w:line="200"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（五）营造更加优质的政务环境</w:t>
      </w:r>
    </w:p>
    <w:p>
      <w:pPr>
        <w:spacing w:after="0" w:line="242" w:lineRule="exact"/>
        <w:rPr>
          <w:sz w:val="20"/>
          <w:szCs w:val="20"/>
          <w:color w:val="auto"/>
        </w:rPr>
      </w:pPr>
    </w:p>
    <w:p>
      <w:pPr>
        <w:jc w:val="both"/>
        <w:ind w:left="360" w:right="346" w:firstLine="641"/>
        <w:spacing w:after="0" w:line="510" w:lineRule="exact"/>
        <w:rPr>
          <w:sz w:val="20"/>
          <w:szCs w:val="20"/>
          <w:color w:val="auto"/>
        </w:rPr>
      </w:pPr>
      <w:r>
        <w:rPr>
          <w:rFonts w:ascii="宋体" w:cs="宋体" w:eastAsia="宋体" w:hAnsi="宋体"/>
          <w:sz w:val="32"/>
          <w:szCs w:val="32"/>
          <w:color w:val="auto"/>
        </w:rPr>
        <w:t>加快数字政府建设，全面推动以区块链为主的信息技术在政务领域广泛应用，全面推动政府数据共享和信用体系建设。推行</w:t>
      </w:r>
      <w:r>
        <w:rPr>
          <w:rFonts w:ascii="Arial" w:cs="Arial" w:eastAsia="Arial" w:hAnsi="Arial"/>
          <w:sz w:val="32"/>
          <w:szCs w:val="32"/>
          <w:color w:val="auto"/>
        </w:rPr>
        <w:t>“</w:t>
      </w:r>
      <w:r>
        <w:rPr>
          <w:rFonts w:ascii="宋体" w:cs="宋体" w:eastAsia="宋体" w:hAnsi="宋体"/>
          <w:sz w:val="32"/>
          <w:szCs w:val="32"/>
          <w:color w:val="auto"/>
        </w:rPr>
        <w:t>不见面</w:t>
      </w:r>
      <w:r>
        <w:rPr>
          <w:rFonts w:ascii="Arial" w:cs="Arial" w:eastAsia="Arial" w:hAnsi="Arial"/>
          <w:sz w:val="32"/>
          <w:szCs w:val="32"/>
          <w:color w:val="auto"/>
        </w:rPr>
        <w:t>”</w:t>
      </w:r>
      <w:r>
        <w:rPr>
          <w:rFonts w:ascii="宋体" w:cs="宋体" w:eastAsia="宋体" w:hAnsi="宋体"/>
          <w:sz w:val="32"/>
          <w:szCs w:val="32"/>
          <w:color w:val="auto"/>
        </w:rPr>
        <w:t>办事，在更大范围实现</w:t>
      </w:r>
      <w:r>
        <w:rPr>
          <w:rFonts w:ascii="Arial" w:cs="Arial" w:eastAsia="Arial" w:hAnsi="Arial"/>
          <w:sz w:val="32"/>
          <w:szCs w:val="32"/>
          <w:color w:val="auto"/>
        </w:rPr>
        <w:t>“</w:t>
      </w:r>
      <w:r>
        <w:rPr>
          <w:rFonts w:ascii="宋体" w:cs="宋体" w:eastAsia="宋体" w:hAnsi="宋体"/>
          <w:sz w:val="32"/>
          <w:szCs w:val="32"/>
          <w:color w:val="auto"/>
        </w:rPr>
        <w:t>一网通办</w:t>
      </w:r>
      <w:r>
        <w:rPr>
          <w:rFonts w:ascii="Arial" w:cs="Arial" w:eastAsia="Arial" w:hAnsi="Arial"/>
          <w:sz w:val="32"/>
          <w:szCs w:val="32"/>
          <w:color w:val="auto"/>
        </w:rPr>
        <w:t>”</w:t>
      </w:r>
      <w:r>
        <w:rPr>
          <w:rFonts w:ascii="宋体" w:cs="宋体" w:eastAsia="宋体" w:hAnsi="宋体"/>
          <w:sz w:val="32"/>
          <w:szCs w:val="32"/>
          <w:color w:val="auto"/>
        </w:rPr>
        <w:t>，大力推进政务服务标准化建设，强化市级部门对各区政策落地业务指导，强化基层政务服务</w:t>
      </w:r>
      <w:r>
        <w:rPr>
          <w:rFonts w:ascii="Arial" w:cs="Arial" w:eastAsia="Arial" w:hAnsi="Arial"/>
          <w:sz w:val="32"/>
          <w:szCs w:val="32"/>
          <w:color w:val="auto"/>
        </w:rPr>
        <w:t>“</w:t>
      </w:r>
      <w:r>
        <w:rPr>
          <w:rFonts w:ascii="宋体" w:cs="宋体" w:eastAsia="宋体" w:hAnsi="宋体"/>
          <w:sz w:val="32"/>
          <w:szCs w:val="32"/>
          <w:color w:val="auto"/>
        </w:rPr>
        <w:t>窗口</w:t>
      </w:r>
      <w:r>
        <w:rPr>
          <w:rFonts w:ascii="Arial" w:cs="Arial" w:eastAsia="Arial" w:hAnsi="Arial"/>
          <w:sz w:val="32"/>
          <w:szCs w:val="32"/>
          <w:color w:val="auto"/>
        </w:rPr>
        <w:t>”</w:t>
      </w:r>
      <w:r>
        <w:rPr>
          <w:rFonts w:ascii="宋体" w:cs="宋体" w:eastAsia="宋体" w:hAnsi="宋体"/>
          <w:sz w:val="32"/>
          <w:szCs w:val="32"/>
          <w:color w:val="auto"/>
        </w:rPr>
        <w:t>建设，着力解决好</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ind w:left="4380"/>
        <w:spacing w:after="0" w:line="308" w:lineRule="exact"/>
        <w:rPr>
          <w:sz w:val="20"/>
          <w:szCs w:val="20"/>
          <w:color w:val="auto"/>
        </w:rPr>
      </w:pPr>
      <w:r>
        <w:rPr>
          <w:rFonts w:ascii="宋体" w:cs="宋体" w:eastAsia="宋体" w:hAnsi="宋体"/>
          <w:sz w:val="27"/>
          <w:szCs w:val="27"/>
          <w:color w:val="auto"/>
        </w:rPr>
        <w:t>- 33 -</w:t>
      </w:r>
    </w:p>
    <w:p>
      <w:pPr>
        <w:sectPr>
          <w:pgSz w:w="11900" w:h="16838" w:orient="portrait"/>
          <w:cols w:equalWidth="0" w:num="1">
            <w:col w:w="9026"/>
          </w:cols>
          <w:pgMar w:left="1440" w:top="1440" w:right="1440" w:bottom="500" w:gutter="0" w:footer="0" w:header="0"/>
          <w:type w:val="continuous"/>
        </w:sectPr>
      </w:pPr>
    </w:p>
    <w:bookmarkStart w:id="35" w:name="page36"/>
    <w:bookmarkEnd w:id="35"/>
    <w:p>
      <w:pPr>
        <w:spacing w:after="0" w:line="106" w:lineRule="exact"/>
        <w:rPr>
          <w:sz w:val="20"/>
          <w:szCs w:val="20"/>
          <w:color w:val="auto"/>
        </w:rPr>
      </w:pPr>
    </w:p>
    <w:p>
      <w:pPr>
        <w:ind w:left="360"/>
        <w:spacing w:after="0" w:line="388" w:lineRule="exact"/>
        <w:rPr>
          <w:sz w:val="20"/>
          <w:szCs w:val="20"/>
          <w:color w:val="auto"/>
        </w:rPr>
      </w:pPr>
      <w:r>
        <w:rPr>
          <w:rFonts w:ascii="Arial" w:cs="Arial" w:eastAsia="Arial" w:hAnsi="Arial"/>
          <w:sz w:val="32"/>
          <w:szCs w:val="32"/>
          <w:color w:val="auto"/>
        </w:rPr>
        <w:t>“</w:t>
      </w:r>
      <w:r>
        <w:rPr>
          <w:rFonts w:ascii="宋体" w:cs="宋体" w:eastAsia="宋体" w:hAnsi="宋体"/>
          <w:sz w:val="32"/>
          <w:szCs w:val="32"/>
          <w:color w:val="auto"/>
        </w:rPr>
        <w:t>最后一公里</w:t>
      </w:r>
      <w:r>
        <w:rPr>
          <w:rFonts w:ascii="Arial" w:cs="Arial" w:eastAsia="Arial" w:hAnsi="Arial"/>
          <w:sz w:val="32"/>
          <w:szCs w:val="32"/>
          <w:color w:val="auto"/>
        </w:rPr>
        <w:t>”</w:t>
      </w:r>
      <w:r>
        <w:rPr>
          <w:rFonts w:ascii="宋体" w:cs="宋体" w:eastAsia="宋体" w:hAnsi="宋体"/>
          <w:sz w:val="32"/>
          <w:szCs w:val="32"/>
          <w:color w:val="auto"/>
        </w:rPr>
        <w:t>问题，为市场主体提供更加规范、便利、高</w:t>
      </w:r>
    </w:p>
    <w:p>
      <w:pPr>
        <w:spacing w:after="0" w:line="194"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效的政务服务。</w:t>
      </w:r>
    </w:p>
    <w:p>
      <w:pPr>
        <w:spacing w:after="0" w:line="205" w:lineRule="exact"/>
        <w:rPr>
          <w:sz w:val="20"/>
          <w:szCs w:val="20"/>
          <w:color w:val="auto"/>
        </w:rPr>
      </w:pPr>
    </w:p>
    <w:p>
      <w:pPr>
        <w:ind w:left="1000"/>
        <w:spacing w:after="0" w:line="406" w:lineRule="exact"/>
        <w:rPr>
          <w:sz w:val="20"/>
          <w:szCs w:val="20"/>
          <w:color w:val="auto"/>
        </w:rPr>
      </w:pPr>
      <w:r>
        <w:rPr>
          <w:rFonts w:ascii="Calibri" w:cs="Calibri" w:eastAsia="Calibri" w:hAnsi="Calibri"/>
          <w:sz w:val="32"/>
          <w:szCs w:val="32"/>
          <w:color w:val="auto"/>
        </w:rPr>
        <w:t>1.</w:t>
      </w:r>
      <w:r>
        <w:rPr>
          <w:rFonts w:ascii="宋体" w:cs="宋体" w:eastAsia="宋体" w:hAnsi="宋体"/>
          <w:sz w:val="32"/>
          <w:szCs w:val="32"/>
          <w:color w:val="auto"/>
        </w:rPr>
        <w:t>重点提高政务服务质量。一是改革创新审批方式，全</w:t>
      </w:r>
    </w:p>
    <w:p>
      <w:pPr>
        <w:spacing w:after="0" w:line="145"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面推行证明事项和涉企经营许可事项告知承诺制，明确事项</w:t>
      </w:r>
    </w:p>
    <w:p>
      <w:pPr>
        <w:spacing w:after="0" w:line="194"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范围、适用对象、工作流程和监管措施等。制定证明事项告</w:t>
      </w:r>
    </w:p>
    <w:p>
      <w:pPr>
        <w:spacing w:after="0" w:line="205" w:lineRule="exact"/>
        <w:rPr>
          <w:sz w:val="20"/>
          <w:szCs w:val="20"/>
          <w:color w:val="auto"/>
        </w:rPr>
      </w:pPr>
    </w:p>
    <w:p>
      <w:pPr>
        <w:ind w:left="360"/>
        <w:spacing w:after="0" w:line="406" w:lineRule="exact"/>
        <w:rPr>
          <w:sz w:val="20"/>
          <w:szCs w:val="20"/>
          <w:color w:val="auto"/>
        </w:rPr>
      </w:pPr>
      <w:r>
        <w:rPr>
          <w:rFonts w:ascii="宋体" w:cs="宋体" w:eastAsia="宋体" w:hAnsi="宋体"/>
          <w:sz w:val="32"/>
          <w:szCs w:val="32"/>
          <w:color w:val="auto"/>
        </w:rPr>
        <w:t>知承诺制试点工作实施方案，对于保留的</w:t>
      </w:r>
      <w:r>
        <w:rPr>
          <w:rFonts w:ascii="Calibri" w:cs="Calibri" w:eastAsia="Calibri" w:hAnsi="Calibri"/>
          <w:sz w:val="32"/>
          <w:szCs w:val="32"/>
          <w:color w:val="auto"/>
        </w:rPr>
        <w:t xml:space="preserve"> 51 </w:t>
      </w:r>
      <w:r>
        <w:rPr>
          <w:rFonts w:ascii="宋体" w:cs="宋体" w:eastAsia="宋体" w:hAnsi="宋体"/>
          <w:sz w:val="32"/>
          <w:szCs w:val="32"/>
          <w:color w:val="auto"/>
        </w:rPr>
        <w:t>项证明，除直</w:t>
      </w:r>
    </w:p>
    <w:p>
      <w:pPr>
        <w:spacing w:after="0" w:line="145"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w w:val="99"/>
        </w:rPr>
        <w:t>接涉及国家安全、国家秘密、公共安全、金融业审慎监管、</w:t>
      </w:r>
    </w:p>
    <w:p>
      <w:pPr>
        <w:spacing w:after="0" w:line="194"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生态环境保护，直接关系人身健康、生命财产安全以及重要</w:t>
      </w:r>
    </w:p>
    <w:p>
      <w:pPr>
        <w:spacing w:after="0" w:line="194"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涉外等风险较大、纠错成本较高、损害难以挽回的证明事项</w:t>
      </w:r>
    </w:p>
    <w:p>
      <w:pPr>
        <w:spacing w:after="0" w:line="197"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外，全部实行告知承诺制。二是构建数字政务平台体系，加</w:t>
      </w:r>
    </w:p>
    <w:p>
      <w:pPr>
        <w:spacing w:after="0" w:line="194"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快搭建数字服务、数字监管、数字营商信息化平台，统筹各</w:t>
      </w:r>
    </w:p>
    <w:p>
      <w:pPr>
        <w:spacing w:after="0" w:line="194"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类为企业群众提供服务、进行监管的业务系统。三是进一步</w:t>
      </w:r>
    </w:p>
    <w:p>
      <w:pPr>
        <w:spacing w:after="0" w:line="208" w:lineRule="exact"/>
        <w:rPr>
          <w:sz w:val="20"/>
          <w:szCs w:val="20"/>
          <w:color w:val="auto"/>
        </w:rPr>
      </w:pPr>
    </w:p>
    <w:p>
      <w:pPr>
        <w:ind w:left="360"/>
        <w:spacing w:after="0" w:line="406" w:lineRule="exact"/>
        <w:rPr>
          <w:sz w:val="20"/>
          <w:szCs w:val="20"/>
          <w:color w:val="auto"/>
        </w:rPr>
      </w:pPr>
      <w:r>
        <w:rPr>
          <w:rFonts w:ascii="宋体" w:cs="宋体" w:eastAsia="宋体" w:hAnsi="宋体"/>
          <w:sz w:val="32"/>
          <w:szCs w:val="32"/>
          <w:color w:val="auto"/>
        </w:rPr>
        <w:t>拓展</w:t>
      </w:r>
      <w:r>
        <w:rPr>
          <w:rFonts w:ascii="Arial" w:cs="Arial" w:eastAsia="Arial" w:hAnsi="Arial"/>
          <w:sz w:val="32"/>
          <w:szCs w:val="32"/>
          <w:color w:val="auto"/>
        </w:rPr>
        <w:t>“</w:t>
      </w:r>
      <w:r>
        <w:rPr>
          <w:rFonts w:ascii="宋体" w:cs="宋体" w:eastAsia="宋体" w:hAnsi="宋体"/>
          <w:sz w:val="32"/>
          <w:szCs w:val="32"/>
          <w:color w:val="auto"/>
        </w:rPr>
        <w:t>互联网</w:t>
      </w:r>
      <w:r>
        <w:rPr>
          <w:rFonts w:ascii="Calibri" w:cs="Calibri" w:eastAsia="Calibri" w:hAnsi="Calibri"/>
          <w:sz w:val="32"/>
          <w:szCs w:val="32"/>
          <w:color w:val="auto"/>
        </w:rPr>
        <w:t>+</w:t>
      </w:r>
      <w:r>
        <w:rPr>
          <w:rFonts w:ascii="宋体" w:cs="宋体" w:eastAsia="宋体" w:hAnsi="宋体"/>
          <w:sz w:val="32"/>
          <w:szCs w:val="32"/>
          <w:color w:val="auto"/>
        </w:rPr>
        <w:t>政务服务</w:t>
      </w:r>
      <w:r>
        <w:rPr>
          <w:rFonts w:ascii="Arial" w:cs="Arial" w:eastAsia="Arial" w:hAnsi="Arial"/>
          <w:sz w:val="32"/>
          <w:szCs w:val="32"/>
          <w:color w:val="auto"/>
        </w:rPr>
        <w:t>”</w:t>
      </w:r>
      <w:r>
        <w:rPr>
          <w:rFonts w:ascii="宋体" w:cs="宋体" w:eastAsia="宋体" w:hAnsi="宋体"/>
          <w:sz w:val="32"/>
          <w:szCs w:val="32"/>
          <w:color w:val="auto"/>
        </w:rPr>
        <w:t>，出台《北京市电子印章推广应</w:t>
      </w:r>
    </w:p>
    <w:p>
      <w:pPr>
        <w:spacing w:after="0" w:line="142"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用行动方案》，运用电子印章在涉税事项、社保登记、公积</w:t>
      </w:r>
    </w:p>
    <w:p>
      <w:pPr>
        <w:spacing w:after="0" w:line="194"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金等领域率先实现无纸化。四是持续简化优化政务服务事项</w:t>
      </w:r>
    </w:p>
    <w:p>
      <w:pPr>
        <w:spacing w:after="0" w:line="208" w:lineRule="exact"/>
        <w:rPr>
          <w:sz w:val="20"/>
          <w:szCs w:val="20"/>
          <w:color w:val="auto"/>
        </w:rPr>
      </w:pPr>
    </w:p>
    <w:p>
      <w:pPr>
        <w:ind w:left="360"/>
        <w:spacing w:after="0" w:line="406" w:lineRule="exact"/>
        <w:rPr>
          <w:sz w:val="20"/>
          <w:szCs w:val="20"/>
          <w:color w:val="auto"/>
        </w:rPr>
      </w:pPr>
      <w:r>
        <w:rPr>
          <w:rFonts w:ascii="宋体" w:cs="宋体" w:eastAsia="宋体" w:hAnsi="宋体"/>
          <w:sz w:val="32"/>
          <w:szCs w:val="32"/>
          <w:color w:val="auto"/>
        </w:rPr>
        <w:t>办理，市、区两级</w:t>
      </w:r>
      <w:r>
        <w:rPr>
          <w:rFonts w:ascii="Arial" w:cs="Arial" w:eastAsia="Arial" w:hAnsi="Arial"/>
          <w:sz w:val="32"/>
          <w:szCs w:val="32"/>
          <w:color w:val="auto"/>
        </w:rPr>
        <w:t>“</w:t>
      </w:r>
      <w:r>
        <w:rPr>
          <w:rFonts w:ascii="宋体" w:cs="宋体" w:eastAsia="宋体" w:hAnsi="宋体"/>
          <w:sz w:val="32"/>
          <w:szCs w:val="32"/>
          <w:color w:val="auto"/>
        </w:rPr>
        <w:t>全程网办</w:t>
      </w:r>
      <w:r>
        <w:rPr>
          <w:rFonts w:ascii="Arial" w:cs="Arial" w:eastAsia="Arial" w:hAnsi="Arial"/>
          <w:sz w:val="32"/>
          <w:szCs w:val="32"/>
          <w:color w:val="auto"/>
        </w:rPr>
        <w:t>”</w:t>
      </w:r>
      <w:r>
        <w:rPr>
          <w:rFonts w:ascii="宋体" w:cs="宋体" w:eastAsia="宋体" w:hAnsi="宋体"/>
          <w:sz w:val="32"/>
          <w:szCs w:val="32"/>
          <w:color w:val="auto"/>
        </w:rPr>
        <w:t>事项比例分别达到</w:t>
      </w:r>
      <w:r>
        <w:rPr>
          <w:rFonts w:ascii="Arial" w:cs="Arial" w:eastAsia="Arial" w:hAnsi="Arial"/>
          <w:sz w:val="32"/>
          <w:szCs w:val="32"/>
          <w:color w:val="auto"/>
        </w:rPr>
        <w:t xml:space="preserve"> </w:t>
      </w:r>
      <w:r>
        <w:rPr>
          <w:rFonts w:ascii="Calibri" w:cs="Calibri" w:eastAsia="Calibri" w:hAnsi="Calibri"/>
          <w:sz w:val="32"/>
          <w:szCs w:val="32"/>
          <w:color w:val="auto"/>
        </w:rPr>
        <w:t>90%</w:t>
      </w:r>
      <w:r>
        <w:rPr>
          <w:rFonts w:ascii="宋体" w:cs="宋体" w:eastAsia="宋体" w:hAnsi="宋体"/>
          <w:sz w:val="32"/>
          <w:szCs w:val="32"/>
          <w:color w:val="auto"/>
        </w:rPr>
        <w:t>和</w:t>
      </w:r>
      <w:r>
        <w:rPr>
          <w:rFonts w:ascii="Arial" w:cs="Arial" w:eastAsia="Arial" w:hAnsi="Arial"/>
          <w:sz w:val="32"/>
          <w:szCs w:val="32"/>
          <w:color w:val="auto"/>
        </w:rPr>
        <w:t xml:space="preserve"> </w:t>
      </w:r>
      <w:r>
        <w:rPr>
          <w:rFonts w:ascii="Calibri" w:cs="Calibri" w:eastAsia="Calibri" w:hAnsi="Calibri"/>
          <w:sz w:val="32"/>
          <w:szCs w:val="32"/>
          <w:color w:val="auto"/>
        </w:rPr>
        <w:t>80%</w:t>
      </w:r>
    </w:p>
    <w:p>
      <w:pPr>
        <w:spacing w:after="0" w:line="119" w:lineRule="exact"/>
        <w:rPr>
          <w:sz w:val="20"/>
          <w:szCs w:val="20"/>
          <w:color w:val="auto"/>
        </w:rPr>
      </w:pPr>
    </w:p>
    <w:p>
      <w:pPr>
        <w:ind w:left="360"/>
        <w:spacing w:after="0" w:line="388" w:lineRule="exact"/>
        <w:rPr>
          <w:sz w:val="20"/>
          <w:szCs w:val="20"/>
          <w:color w:val="auto"/>
        </w:rPr>
      </w:pPr>
      <w:r>
        <w:rPr>
          <w:rFonts w:ascii="宋体" w:cs="宋体" w:eastAsia="宋体" w:hAnsi="宋体"/>
          <w:sz w:val="32"/>
          <w:szCs w:val="32"/>
          <w:color w:val="auto"/>
        </w:rPr>
        <w:t>以上，推动一批跨部门、跨层级联办事项</w:t>
      </w:r>
      <w:r>
        <w:rPr>
          <w:rFonts w:ascii="Arial" w:cs="Arial" w:eastAsia="Arial" w:hAnsi="Arial"/>
          <w:sz w:val="32"/>
          <w:szCs w:val="32"/>
          <w:color w:val="auto"/>
        </w:rPr>
        <w:t>“</w:t>
      </w:r>
      <w:r>
        <w:rPr>
          <w:rFonts w:ascii="宋体" w:cs="宋体" w:eastAsia="宋体" w:hAnsi="宋体"/>
          <w:sz w:val="32"/>
          <w:szCs w:val="32"/>
          <w:color w:val="auto"/>
        </w:rPr>
        <w:t>全程网办</w:t>
      </w:r>
      <w:r>
        <w:rPr>
          <w:rFonts w:ascii="Arial" w:cs="Arial" w:eastAsia="Arial" w:hAnsi="Arial"/>
          <w:sz w:val="32"/>
          <w:szCs w:val="32"/>
          <w:color w:val="auto"/>
        </w:rPr>
        <w:t>”</w:t>
      </w:r>
      <w:r>
        <w:rPr>
          <w:rFonts w:ascii="宋体" w:cs="宋体" w:eastAsia="宋体" w:hAnsi="宋体"/>
          <w:sz w:val="32"/>
          <w:szCs w:val="32"/>
          <w:color w:val="auto"/>
        </w:rPr>
        <w:t>。不</w:t>
      </w:r>
    </w:p>
    <w:p>
      <w:pPr>
        <w:spacing w:after="0" w:line="205" w:lineRule="exact"/>
        <w:rPr>
          <w:sz w:val="20"/>
          <w:szCs w:val="20"/>
          <w:color w:val="auto"/>
        </w:rPr>
      </w:pPr>
    </w:p>
    <w:p>
      <w:pPr>
        <w:ind w:left="360"/>
        <w:spacing w:after="0" w:line="406" w:lineRule="exact"/>
        <w:rPr>
          <w:sz w:val="20"/>
          <w:szCs w:val="20"/>
          <w:color w:val="auto"/>
        </w:rPr>
      </w:pPr>
      <w:r>
        <w:rPr>
          <w:rFonts w:ascii="宋体" w:cs="宋体" w:eastAsia="宋体" w:hAnsi="宋体"/>
          <w:sz w:val="32"/>
          <w:szCs w:val="32"/>
          <w:color w:val="auto"/>
        </w:rPr>
        <w:t>断完善以</w:t>
      </w:r>
      <w:r>
        <w:rPr>
          <w:rFonts w:ascii="Arial" w:cs="Arial" w:eastAsia="Arial" w:hAnsi="Arial"/>
          <w:sz w:val="32"/>
          <w:szCs w:val="32"/>
          <w:color w:val="auto"/>
        </w:rPr>
        <w:t>“</w:t>
      </w:r>
      <w:r>
        <w:rPr>
          <w:rFonts w:ascii="Calibri" w:cs="Calibri" w:eastAsia="Calibri" w:hAnsi="Calibri"/>
          <w:sz w:val="32"/>
          <w:szCs w:val="32"/>
          <w:color w:val="auto"/>
        </w:rPr>
        <w:t>e</w:t>
      </w:r>
      <w:r>
        <w:rPr>
          <w:rFonts w:ascii="Arial" w:cs="Arial" w:eastAsia="Arial" w:hAnsi="Arial"/>
          <w:sz w:val="32"/>
          <w:szCs w:val="32"/>
          <w:color w:val="auto"/>
        </w:rPr>
        <w:t xml:space="preserve"> </w:t>
      </w:r>
      <w:r>
        <w:rPr>
          <w:rFonts w:ascii="宋体" w:cs="宋体" w:eastAsia="宋体" w:hAnsi="宋体"/>
          <w:sz w:val="32"/>
          <w:szCs w:val="32"/>
          <w:color w:val="auto"/>
        </w:rPr>
        <w:t>窗通</w:t>
      </w:r>
      <w:r>
        <w:rPr>
          <w:rFonts w:ascii="Arial" w:cs="Arial" w:eastAsia="Arial" w:hAnsi="Arial"/>
          <w:sz w:val="32"/>
          <w:szCs w:val="32"/>
          <w:color w:val="auto"/>
        </w:rPr>
        <w:t>”</w:t>
      </w:r>
      <w:r>
        <w:rPr>
          <w:rFonts w:ascii="宋体" w:cs="宋体" w:eastAsia="宋体" w:hAnsi="宋体"/>
          <w:sz w:val="32"/>
          <w:szCs w:val="32"/>
          <w:color w:val="auto"/>
        </w:rPr>
        <w:t>为基础的一体化在线服务平台，强化税</w:t>
      </w:r>
    </w:p>
    <w:p>
      <w:pPr>
        <w:spacing w:after="0" w:line="145"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务、社保、市场监管等环节协同办理，实现注销通知书电子</w:t>
      </w:r>
    </w:p>
    <w:p>
      <w:pPr>
        <w:spacing w:after="0" w:line="194"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送达功能；积极争取开展长期吊销未注销企业强制注销试</w:t>
      </w:r>
    </w:p>
    <w:p>
      <w:pPr>
        <w:spacing w:after="0" w:line="194"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点，持续提升企业注销便利度。五是持续优化公证服务，加</w:t>
      </w:r>
    </w:p>
    <w:p>
      <w:pPr>
        <w:spacing w:after="0" w:line="174" w:lineRule="exact"/>
        <w:rPr>
          <w:sz w:val="20"/>
          <w:szCs w:val="20"/>
          <w:color w:val="auto"/>
        </w:rPr>
      </w:pPr>
    </w:p>
    <w:p>
      <w:pPr>
        <w:ind w:left="360"/>
        <w:spacing w:after="0" w:line="388" w:lineRule="exact"/>
        <w:rPr>
          <w:sz w:val="20"/>
          <w:szCs w:val="20"/>
          <w:color w:val="auto"/>
        </w:rPr>
      </w:pPr>
      <w:r>
        <w:rPr>
          <w:rFonts w:ascii="宋体" w:cs="宋体" w:eastAsia="宋体" w:hAnsi="宋体"/>
          <w:sz w:val="32"/>
          <w:szCs w:val="32"/>
          <w:color w:val="auto"/>
        </w:rPr>
        <w:t>快推进高频公证服务事项</w:t>
      </w:r>
      <w:r>
        <w:rPr>
          <w:rFonts w:ascii="Arial" w:cs="Arial" w:eastAsia="Arial" w:hAnsi="Arial"/>
          <w:sz w:val="32"/>
          <w:szCs w:val="32"/>
          <w:color w:val="auto"/>
        </w:rPr>
        <w:t>“</w:t>
      </w:r>
      <w:r>
        <w:rPr>
          <w:rFonts w:ascii="宋体" w:cs="宋体" w:eastAsia="宋体" w:hAnsi="宋体"/>
          <w:sz w:val="32"/>
          <w:szCs w:val="32"/>
          <w:color w:val="auto"/>
        </w:rPr>
        <w:t>一网通办</w:t>
      </w:r>
      <w:r>
        <w:rPr>
          <w:rFonts w:ascii="Arial" w:cs="Arial" w:eastAsia="Arial" w:hAnsi="Arial"/>
          <w:sz w:val="32"/>
          <w:szCs w:val="32"/>
          <w:color w:val="auto"/>
        </w:rPr>
        <w:t>”</w:t>
      </w:r>
      <w:r>
        <w:rPr>
          <w:rFonts w:ascii="宋体" w:cs="宋体" w:eastAsia="宋体" w:hAnsi="宋体"/>
          <w:sz w:val="32"/>
          <w:szCs w:val="32"/>
          <w:color w:val="auto"/>
        </w:rPr>
        <w:t>，实现申请受理、身</w:t>
      </w:r>
    </w:p>
    <w:p>
      <w:pPr>
        <w:spacing w:after="0" w:line="171" w:lineRule="exact"/>
        <w:rPr>
          <w:sz w:val="20"/>
          <w:szCs w:val="20"/>
          <w:color w:val="auto"/>
        </w:rPr>
      </w:pPr>
    </w:p>
    <w:p>
      <w:pPr>
        <w:ind w:left="360"/>
        <w:spacing w:after="0" w:line="388" w:lineRule="exact"/>
        <w:rPr>
          <w:sz w:val="20"/>
          <w:szCs w:val="20"/>
          <w:color w:val="auto"/>
        </w:rPr>
      </w:pPr>
      <w:r>
        <w:rPr>
          <w:rFonts w:ascii="宋体" w:cs="宋体" w:eastAsia="宋体" w:hAnsi="宋体"/>
          <w:sz w:val="32"/>
          <w:szCs w:val="32"/>
          <w:color w:val="auto"/>
        </w:rPr>
        <w:t>份认证、材料提交和缴费等各环节</w:t>
      </w:r>
      <w:r>
        <w:rPr>
          <w:rFonts w:ascii="Arial" w:cs="Arial" w:eastAsia="Arial" w:hAnsi="Arial"/>
          <w:sz w:val="32"/>
          <w:szCs w:val="32"/>
          <w:color w:val="auto"/>
        </w:rPr>
        <w:t>“</w:t>
      </w:r>
      <w:r>
        <w:rPr>
          <w:rFonts w:ascii="宋体" w:cs="宋体" w:eastAsia="宋体" w:hAnsi="宋体"/>
          <w:sz w:val="32"/>
          <w:szCs w:val="32"/>
          <w:color w:val="auto"/>
        </w:rPr>
        <w:t>全程网办</w:t>
      </w:r>
      <w:r>
        <w:rPr>
          <w:rFonts w:ascii="Arial" w:cs="Arial" w:eastAsia="Arial" w:hAnsi="Arial"/>
          <w:sz w:val="32"/>
          <w:szCs w:val="32"/>
          <w:color w:val="auto"/>
        </w:rPr>
        <w:t>”</w:t>
      </w:r>
      <w:r>
        <w:rPr>
          <w:rFonts w:ascii="宋体" w:cs="宋体" w:eastAsia="宋体" w:hAnsi="宋体"/>
          <w:sz w:val="32"/>
          <w:szCs w:val="32"/>
          <w:color w:val="auto"/>
        </w:rPr>
        <w:t>。六是加快</w:t>
      </w:r>
    </w:p>
    <w:p>
      <w:pPr>
        <w:spacing w:after="0" w:line="206"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推动健康云建设，推进居民健康档案及身份识别、电子病历、</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ind w:left="4380"/>
        <w:spacing w:after="0" w:line="308" w:lineRule="exact"/>
        <w:rPr>
          <w:sz w:val="20"/>
          <w:szCs w:val="20"/>
          <w:color w:val="auto"/>
        </w:rPr>
      </w:pPr>
      <w:r>
        <w:rPr>
          <w:rFonts w:ascii="宋体" w:cs="宋体" w:eastAsia="宋体" w:hAnsi="宋体"/>
          <w:sz w:val="27"/>
          <w:szCs w:val="27"/>
          <w:color w:val="auto"/>
        </w:rPr>
        <w:t>- 34 -</w:t>
      </w:r>
    </w:p>
    <w:p>
      <w:pPr>
        <w:sectPr>
          <w:pgSz w:w="11900" w:h="16838" w:orient="portrait"/>
          <w:cols w:equalWidth="0" w:num="1">
            <w:col w:w="9026"/>
          </w:cols>
          <w:pgMar w:left="1440" w:top="1440" w:right="1440" w:bottom="500" w:gutter="0" w:footer="0" w:header="0"/>
          <w:type w:val="continuous"/>
        </w:sectPr>
      </w:pPr>
    </w:p>
    <w:bookmarkStart w:id="36" w:name="page37"/>
    <w:bookmarkEnd w:id="36"/>
    <w:p>
      <w:pPr>
        <w:spacing w:after="0" w:line="177" w:lineRule="exact"/>
        <w:rPr>
          <w:sz w:val="20"/>
          <w:szCs w:val="20"/>
          <w:color w:val="auto"/>
        </w:rPr>
      </w:pPr>
    </w:p>
    <w:p>
      <w:pPr>
        <w:jc w:val="both"/>
        <w:ind w:left="360" w:right="366"/>
        <w:spacing w:after="0" w:line="495" w:lineRule="exact"/>
        <w:rPr>
          <w:sz w:val="20"/>
          <w:szCs w:val="20"/>
          <w:color w:val="auto"/>
        </w:rPr>
      </w:pPr>
      <w:r>
        <w:rPr>
          <w:rFonts w:ascii="宋体" w:cs="宋体" w:eastAsia="宋体" w:hAnsi="宋体"/>
          <w:sz w:val="31"/>
          <w:szCs w:val="31"/>
          <w:color w:val="auto"/>
        </w:rPr>
        <w:t>诊疗信息、报告单结果等信息在不同医院互通互认，减少群众重复办卡和不必要的重复检查。七是推动政务服务</w:t>
      </w:r>
      <w:r>
        <w:rPr>
          <w:rFonts w:ascii="Arial" w:cs="Arial" w:eastAsia="Arial" w:hAnsi="Arial"/>
          <w:sz w:val="31"/>
          <w:szCs w:val="31"/>
          <w:color w:val="auto"/>
        </w:rPr>
        <w:t>“</w:t>
      </w:r>
      <w:r>
        <w:rPr>
          <w:rFonts w:ascii="宋体" w:cs="宋体" w:eastAsia="宋体" w:hAnsi="宋体"/>
          <w:sz w:val="31"/>
          <w:szCs w:val="31"/>
          <w:color w:val="auto"/>
        </w:rPr>
        <w:t>跨省通办</w:t>
      </w:r>
      <w:r>
        <w:rPr>
          <w:rFonts w:ascii="Arial" w:cs="Arial" w:eastAsia="Arial" w:hAnsi="Arial"/>
          <w:sz w:val="31"/>
          <w:szCs w:val="31"/>
          <w:color w:val="auto"/>
        </w:rPr>
        <w:t>”</w:t>
      </w:r>
      <w:r>
        <w:rPr>
          <w:rFonts w:ascii="宋体" w:cs="宋体" w:eastAsia="宋体" w:hAnsi="宋体"/>
          <w:sz w:val="31"/>
          <w:szCs w:val="31"/>
          <w:color w:val="auto"/>
        </w:rPr>
        <w:t>，分批实现</w:t>
      </w:r>
      <w:r>
        <w:rPr>
          <w:rFonts w:ascii="Arial" w:cs="Arial" w:eastAsia="Arial" w:hAnsi="Arial"/>
          <w:sz w:val="31"/>
          <w:szCs w:val="31"/>
          <w:color w:val="auto"/>
        </w:rPr>
        <w:t xml:space="preserve"> </w:t>
      </w:r>
      <w:r>
        <w:rPr>
          <w:rFonts w:ascii="Calibri" w:cs="Calibri" w:eastAsia="Calibri" w:hAnsi="Calibri"/>
          <w:sz w:val="31"/>
          <w:szCs w:val="31"/>
          <w:color w:val="auto"/>
        </w:rPr>
        <w:t>140</w:t>
      </w:r>
      <w:r>
        <w:rPr>
          <w:rFonts w:ascii="Arial" w:cs="Arial" w:eastAsia="Arial" w:hAnsi="Arial"/>
          <w:sz w:val="31"/>
          <w:szCs w:val="31"/>
          <w:color w:val="auto"/>
        </w:rPr>
        <w:t xml:space="preserve"> </w:t>
      </w:r>
      <w:r>
        <w:rPr>
          <w:rFonts w:ascii="宋体" w:cs="宋体" w:eastAsia="宋体" w:hAnsi="宋体"/>
          <w:sz w:val="31"/>
          <w:szCs w:val="31"/>
          <w:color w:val="auto"/>
        </w:rPr>
        <w:t>项企业生产经营和个人服务高频事项</w:t>
      </w:r>
    </w:p>
    <w:p>
      <w:pPr>
        <w:spacing w:after="0" w:line="197" w:lineRule="exact"/>
        <w:rPr>
          <w:sz w:val="20"/>
          <w:szCs w:val="20"/>
          <w:color w:val="auto"/>
        </w:rPr>
      </w:pPr>
    </w:p>
    <w:p>
      <w:pPr>
        <w:ind w:left="360" w:right="206"/>
        <w:spacing w:after="0" w:line="529" w:lineRule="exact"/>
        <w:rPr>
          <w:sz w:val="20"/>
          <w:szCs w:val="20"/>
          <w:color w:val="auto"/>
        </w:rPr>
      </w:pPr>
      <w:r>
        <w:rPr>
          <w:rFonts w:ascii="Arial" w:cs="Arial" w:eastAsia="Arial" w:hAnsi="Arial"/>
          <w:sz w:val="32"/>
          <w:szCs w:val="32"/>
          <w:color w:val="auto"/>
        </w:rPr>
        <w:t>“</w:t>
      </w:r>
      <w:r>
        <w:rPr>
          <w:rFonts w:ascii="宋体" w:cs="宋体" w:eastAsia="宋体" w:hAnsi="宋体"/>
          <w:sz w:val="32"/>
          <w:szCs w:val="32"/>
          <w:color w:val="auto"/>
        </w:rPr>
        <w:t>跨省通办</w:t>
      </w:r>
      <w:r>
        <w:rPr>
          <w:rFonts w:ascii="Arial" w:cs="Arial" w:eastAsia="Arial" w:hAnsi="Arial"/>
          <w:sz w:val="32"/>
          <w:szCs w:val="32"/>
          <w:color w:val="auto"/>
        </w:rPr>
        <w:t>”</w:t>
      </w:r>
      <w:r>
        <w:rPr>
          <w:rFonts w:ascii="宋体" w:cs="宋体" w:eastAsia="宋体" w:hAnsi="宋体"/>
          <w:sz w:val="32"/>
          <w:szCs w:val="32"/>
          <w:color w:val="auto"/>
        </w:rPr>
        <w:t>。八是着力提升政务服务标准化水平，实现政务服务事项在各级政务服务大厅和平台同标准受理、无差别办理。九是持续改进窗口服务，全面推行首问负责、一次告知、一窗受理、容缺受理、双向寄递、并联办理、限时办结，不断提升窗口工作人员服务水平。十是完善</w:t>
      </w:r>
      <w:r>
        <w:rPr>
          <w:rFonts w:ascii="Arial" w:cs="Arial" w:eastAsia="Arial" w:hAnsi="Arial"/>
          <w:sz w:val="32"/>
          <w:szCs w:val="32"/>
          <w:color w:val="auto"/>
        </w:rPr>
        <w:t>“</w:t>
      </w:r>
      <w:r>
        <w:rPr>
          <w:rFonts w:ascii="宋体" w:cs="宋体" w:eastAsia="宋体" w:hAnsi="宋体"/>
          <w:sz w:val="32"/>
          <w:szCs w:val="32"/>
          <w:color w:val="auto"/>
        </w:rPr>
        <w:t>好差评</w:t>
      </w:r>
      <w:r>
        <w:rPr>
          <w:rFonts w:ascii="Arial" w:cs="Arial" w:eastAsia="Arial" w:hAnsi="Arial"/>
          <w:sz w:val="32"/>
          <w:szCs w:val="32"/>
          <w:color w:val="auto"/>
        </w:rPr>
        <w:t>”</w:t>
      </w:r>
      <w:r>
        <w:rPr>
          <w:rFonts w:ascii="宋体" w:cs="宋体" w:eastAsia="宋体" w:hAnsi="宋体"/>
          <w:sz w:val="32"/>
          <w:szCs w:val="32"/>
          <w:color w:val="auto"/>
        </w:rPr>
        <w:t>制度，健全</w:t>
      </w:r>
      <w:r>
        <w:rPr>
          <w:rFonts w:ascii="Arial" w:cs="Arial" w:eastAsia="Arial" w:hAnsi="Arial"/>
          <w:sz w:val="32"/>
          <w:szCs w:val="32"/>
          <w:color w:val="auto"/>
        </w:rPr>
        <w:t>“</w:t>
      </w:r>
      <w:r>
        <w:rPr>
          <w:rFonts w:ascii="宋体" w:cs="宋体" w:eastAsia="宋体" w:hAnsi="宋体"/>
          <w:sz w:val="32"/>
          <w:szCs w:val="32"/>
          <w:color w:val="auto"/>
        </w:rPr>
        <w:t>好差评</w:t>
      </w:r>
      <w:r>
        <w:rPr>
          <w:rFonts w:ascii="Arial" w:cs="Arial" w:eastAsia="Arial" w:hAnsi="Arial"/>
          <w:sz w:val="32"/>
          <w:szCs w:val="32"/>
          <w:color w:val="auto"/>
        </w:rPr>
        <w:t>”</w:t>
      </w:r>
      <w:r>
        <w:rPr>
          <w:rFonts w:ascii="宋体" w:cs="宋体" w:eastAsia="宋体" w:hAnsi="宋体"/>
          <w:sz w:val="32"/>
          <w:szCs w:val="32"/>
          <w:color w:val="auto"/>
        </w:rPr>
        <w:t>评价结果通报、整改、监督工作机制，完成政务服务实体大厅业务系统与</w:t>
      </w:r>
      <w:r>
        <w:rPr>
          <w:rFonts w:ascii="Arial" w:cs="Arial" w:eastAsia="Arial" w:hAnsi="Arial"/>
          <w:sz w:val="32"/>
          <w:szCs w:val="32"/>
          <w:color w:val="auto"/>
        </w:rPr>
        <w:t>“</w:t>
      </w:r>
      <w:r>
        <w:rPr>
          <w:rFonts w:ascii="宋体" w:cs="宋体" w:eastAsia="宋体" w:hAnsi="宋体"/>
          <w:sz w:val="32"/>
          <w:szCs w:val="32"/>
          <w:color w:val="auto"/>
        </w:rPr>
        <w:t>好差评</w:t>
      </w:r>
      <w:r>
        <w:rPr>
          <w:rFonts w:ascii="Arial" w:cs="Arial" w:eastAsia="Arial" w:hAnsi="Arial"/>
          <w:sz w:val="32"/>
          <w:szCs w:val="32"/>
          <w:color w:val="auto"/>
        </w:rPr>
        <w:t>”</w:t>
      </w:r>
      <w:r>
        <w:rPr>
          <w:rFonts w:ascii="宋体" w:cs="宋体" w:eastAsia="宋体" w:hAnsi="宋体"/>
          <w:sz w:val="32"/>
          <w:szCs w:val="32"/>
          <w:color w:val="auto"/>
        </w:rPr>
        <w:t>系统对接，实现服务窗口和渠道全覆盖。</w:t>
      </w:r>
    </w:p>
    <w:p>
      <w:pPr>
        <w:spacing w:after="0" w:line="216" w:lineRule="exact"/>
        <w:rPr>
          <w:sz w:val="20"/>
          <w:szCs w:val="20"/>
          <w:color w:val="auto"/>
        </w:rPr>
      </w:pPr>
    </w:p>
    <w:p>
      <w:pPr>
        <w:ind w:left="360" w:right="206" w:firstLine="641"/>
        <w:spacing w:after="0" w:line="519" w:lineRule="exact"/>
        <w:rPr>
          <w:sz w:val="20"/>
          <w:szCs w:val="20"/>
          <w:color w:val="auto"/>
        </w:rPr>
      </w:pPr>
      <w:r>
        <w:rPr>
          <w:rFonts w:ascii="Calibri" w:cs="Calibri" w:eastAsia="Calibri" w:hAnsi="Calibri"/>
          <w:sz w:val="31"/>
          <w:szCs w:val="31"/>
          <w:color w:val="auto"/>
        </w:rPr>
        <w:t>2.</w:t>
      </w:r>
      <w:r>
        <w:rPr>
          <w:rFonts w:ascii="宋体" w:cs="宋体" w:eastAsia="宋体" w:hAnsi="宋体"/>
          <w:sz w:val="31"/>
          <w:szCs w:val="31"/>
          <w:color w:val="auto"/>
        </w:rPr>
        <w:t>持续优化纳税服务水平。进一步减少企业纳税环节、时间和成本，推动发票办理、申报纳税等各环节</w:t>
      </w:r>
      <w:r>
        <w:rPr>
          <w:rFonts w:ascii="Arial" w:cs="Arial" w:eastAsia="Arial" w:hAnsi="Arial"/>
          <w:sz w:val="31"/>
          <w:szCs w:val="31"/>
          <w:color w:val="auto"/>
        </w:rPr>
        <w:t>“</w:t>
      </w:r>
      <w:r>
        <w:rPr>
          <w:rFonts w:ascii="宋体" w:cs="宋体" w:eastAsia="宋体" w:hAnsi="宋体"/>
          <w:sz w:val="31"/>
          <w:szCs w:val="31"/>
          <w:color w:val="auto"/>
        </w:rPr>
        <w:t>全程网办</w:t>
      </w:r>
      <w:r>
        <w:rPr>
          <w:rFonts w:ascii="Arial" w:cs="Arial" w:eastAsia="Arial" w:hAnsi="Arial"/>
          <w:sz w:val="31"/>
          <w:szCs w:val="31"/>
          <w:color w:val="auto"/>
        </w:rPr>
        <w:t>”</w:t>
      </w:r>
      <w:r>
        <w:rPr>
          <w:rFonts w:ascii="宋体" w:cs="宋体" w:eastAsia="宋体" w:hAnsi="宋体"/>
          <w:sz w:val="31"/>
          <w:szCs w:val="31"/>
          <w:color w:val="auto"/>
        </w:rPr>
        <w:t>。一是简化税收优惠政策申报程序，将全部税收优惠核准转为备案或申报即享，不再设置审批环节。二是实行企业所得税（预缴）、城镇土地使用税、房产税、印花税、土地增值税</w:t>
      </w:r>
    </w:p>
    <w:p>
      <w:pPr>
        <w:spacing w:after="0" w:line="209" w:lineRule="exact"/>
        <w:rPr>
          <w:sz w:val="20"/>
          <w:szCs w:val="20"/>
          <w:color w:val="auto"/>
        </w:rPr>
      </w:pPr>
    </w:p>
    <w:p>
      <w:pPr>
        <w:ind w:left="360" w:right="206"/>
        <w:spacing w:after="0" w:line="534" w:lineRule="exact"/>
        <w:tabs>
          <w:tab w:leader="none" w:pos="761" w:val="left"/>
        </w:tabs>
        <w:numPr>
          <w:ilvl w:val="0"/>
          <w:numId w:val="1"/>
        </w:numPr>
        <w:rPr>
          <w:rFonts w:ascii="宋体" w:cs="宋体" w:eastAsia="宋体" w:hAnsi="宋体"/>
          <w:sz w:val="32"/>
          <w:szCs w:val="32"/>
          <w:color w:val="auto"/>
        </w:rPr>
      </w:pPr>
      <w:r>
        <w:rPr>
          <w:rFonts w:ascii="Calibri" w:cs="Calibri" w:eastAsia="Calibri" w:hAnsi="Calibri"/>
          <w:sz w:val="32"/>
          <w:szCs w:val="32"/>
          <w:color w:val="auto"/>
        </w:rPr>
        <w:t xml:space="preserve">5 </w:t>
      </w:r>
      <w:r>
        <w:rPr>
          <w:rFonts w:ascii="宋体" w:cs="宋体" w:eastAsia="宋体" w:hAnsi="宋体"/>
          <w:sz w:val="32"/>
          <w:szCs w:val="32"/>
          <w:color w:val="auto"/>
        </w:rPr>
        <w:t>税种合并申报。实现增值税、消费税和城市维护建设税、教育费附加、地方教育附加等合并申报。三是优化增值税留抵退税办理流程，企业网上纳税和退税申报可</w:t>
      </w:r>
      <w:r>
        <w:rPr>
          <w:rFonts w:ascii="Arial" w:cs="Arial" w:eastAsia="Arial" w:hAnsi="Arial"/>
          <w:sz w:val="32"/>
          <w:szCs w:val="32"/>
          <w:color w:val="auto"/>
        </w:rPr>
        <w:t>“</w:t>
      </w:r>
      <w:r>
        <w:rPr>
          <w:rFonts w:ascii="宋体" w:cs="宋体" w:eastAsia="宋体" w:hAnsi="宋体"/>
          <w:sz w:val="32"/>
          <w:szCs w:val="32"/>
          <w:color w:val="auto"/>
        </w:rPr>
        <w:t>一表</w:t>
      </w:r>
      <w:r>
        <w:rPr>
          <w:rFonts w:ascii="Arial" w:cs="Arial" w:eastAsia="Arial" w:hAnsi="Arial"/>
          <w:sz w:val="32"/>
          <w:szCs w:val="32"/>
          <w:color w:val="auto"/>
        </w:rPr>
        <w:t>”</w:t>
      </w:r>
      <w:r>
        <w:rPr>
          <w:rFonts w:ascii="宋体" w:cs="宋体" w:eastAsia="宋体" w:hAnsi="宋体"/>
          <w:sz w:val="32"/>
          <w:szCs w:val="32"/>
          <w:color w:val="auto"/>
        </w:rPr>
        <w:t>同步办理。四是优化增值税发票审批服务，对于连续办理发票增版增量业务且符合实际经营状况的企业，实行发票智能实时审批，及时为其调整发票核定数量或版面，切实满足企业合理的发票使用需求。五是进一步扩大</w:t>
      </w:r>
      <w:r>
        <w:rPr>
          <w:rFonts w:ascii="Arial" w:cs="Arial" w:eastAsia="Arial" w:hAnsi="Arial"/>
          <w:sz w:val="32"/>
          <w:szCs w:val="32"/>
          <w:color w:val="auto"/>
        </w:rPr>
        <w:t>“</w:t>
      </w:r>
      <w:r>
        <w:rPr>
          <w:rFonts w:ascii="宋体" w:cs="宋体" w:eastAsia="宋体" w:hAnsi="宋体"/>
          <w:sz w:val="32"/>
          <w:szCs w:val="32"/>
          <w:color w:val="auto"/>
        </w:rPr>
        <w:t>非接触式</w:t>
      </w:r>
      <w:r>
        <w:rPr>
          <w:rFonts w:ascii="Arial" w:cs="Arial" w:eastAsia="Arial" w:hAnsi="Arial"/>
          <w:sz w:val="32"/>
          <w:szCs w:val="32"/>
          <w:color w:val="auto"/>
        </w:rPr>
        <w:t>”</w:t>
      </w:r>
      <w:r>
        <w:rPr>
          <w:rFonts w:ascii="宋体" w:cs="宋体" w:eastAsia="宋体" w:hAnsi="宋体"/>
          <w:sz w:val="32"/>
          <w:szCs w:val="32"/>
          <w:color w:val="auto"/>
        </w:rPr>
        <w:t>办税缴费服务范围，实现全部涉税政务服务事项</w:t>
      </w:r>
      <w:r>
        <w:rPr>
          <w:rFonts w:ascii="Arial" w:cs="Arial" w:eastAsia="Arial" w:hAnsi="Arial"/>
          <w:sz w:val="32"/>
          <w:szCs w:val="32"/>
          <w:color w:val="auto"/>
        </w:rPr>
        <w:t>“</w:t>
      </w:r>
      <w:r>
        <w:rPr>
          <w:rFonts w:ascii="宋体" w:cs="宋体" w:eastAsia="宋体" w:hAnsi="宋体"/>
          <w:sz w:val="32"/>
          <w:szCs w:val="32"/>
          <w:color w:val="auto"/>
        </w:rPr>
        <w:t>网上办</w:t>
      </w:r>
      <w:r>
        <w:rPr>
          <w:rFonts w:ascii="Arial" w:cs="Arial" w:eastAsia="Arial" w:hAnsi="Arial"/>
          <w:sz w:val="32"/>
          <w:szCs w:val="32"/>
          <w:color w:val="auto"/>
        </w:rPr>
        <w:t>”</w:t>
      </w:r>
      <w:r>
        <w:rPr>
          <w:rFonts w:ascii="宋体" w:cs="宋体" w:eastAsia="宋体" w:hAnsi="宋体"/>
          <w:sz w:val="32"/>
          <w:szCs w:val="32"/>
          <w:color w:val="auto"/>
        </w:rPr>
        <w:t>，主要涉</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ind w:left="4380"/>
        <w:spacing w:after="0" w:line="308" w:lineRule="exact"/>
        <w:rPr>
          <w:sz w:val="20"/>
          <w:szCs w:val="20"/>
          <w:color w:val="auto"/>
        </w:rPr>
      </w:pPr>
      <w:r>
        <w:rPr>
          <w:rFonts w:ascii="宋体" w:cs="宋体" w:eastAsia="宋体" w:hAnsi="宋体"/>
          <w:sz w:val="27"/>
          <w:szCs w:val="27"/>
          <w:color w:val="auto"/>
        </w:rPr>
        <w:t>- 35 -</w:t>
      </w:r>
    </w:p>
    <w:p>
      <w:pPr>
        <w:sectPr>
          <w:pgSz w:w="11900" w:h="16838" w:orient="portrait"/>
          <w:cols w:equalWidth="0" w:num="1">
            <w:col w:w="9026"/>
          </w:cols>
          <w:pgMar w:left="1440" w:top="1440" w:right="1440" w:bottom="500" w:gutter="0" w:footer="0" w:header="0"/>
          <w:type w:val="continuous"/>
        </w:sectPr>
      </w:pPr>
    </w:p>
    <w:bookmarkStart w:id="37" w:name="page38"/>
    <w:bookmarkEnd w:id="37"/>
    <w:p>
      <w:pPr>
        <w:spacing w:after="0" w:line="177" w:lineRule="exact"/>
        <w:rPr>
          <w:sz w:val="20"/>
          <w:szCs w:val="20"/>
          <w:color w:val="auto"/>
        </w:rPr>
      </w:pPr>
    </w:p>
    <w:p>
      <w:pPr>
        <w:jc w:val="both"/>
        <w:ind w:left="360" w:right="366"/>
        <w:spacing w:after="0" w:line="479" w:lineRule="exact"/>
        <w:rPr>
          <w:sz w:val="20"/>
          <w:szCs w:val="20"/>
          <w:color w:val="auto"/>
        </w:rPr>
      </w:pPr>
      <w:r>
        <w:rPr>
          <w:rFonts w:ascii="宋体" w:cs="宋体" w:eastAsia="宋体" w:hAnsi="宋体"/>
          <w:sz w:val="32"/>
          <w:szCs w:val="32"/>
          <w:color w:val="auto"/>
        </w:rPr>
        <w:t>税政务服务事项</w:t>
      </w:r>
      <w:r>
        <w:rPr>
          <w:rFonts w:ascii="Arial" w:cs="Arial" w:eastAsia="Arial" w:hAnsi="Arial"/>
          <w:sz w:val="32"/>
          <w:szCs w:val="32"/>
          <w:color w:val="auto"/>
        </w:rPr>
        <w:t>“</w:t>
      </w:r>
      <w:r>
        <w:rPr>
          <w:rFonts w:ascii="宋体" w:cs="宋体" w:eastAsia="宋体" w:hAnsi="宋体"/>
          <w:sz w:val="32"/>
          <w:szCs w:val="32"/>
          <w:color w:val="auto"/>
        </w:rPr>
        <w:t>掌上办</w:t>
      </w:r>
      <w:r>
        <w:rPr>
          <w:rFonts w:ascii="Arial" w:cs="Arial" w:eastAsia="Arial" w:hAnsi="Arial"/>
          <w:sz w:val="32"/>
          <w:szCs w:val="32"/>
          <w:color w:val="auto"/>
        </w:rPr>
        <w:t>”</w:t>
      </w:r>
      <w:r>
        <w:rPr>
          <w:rFonts w:ascii="宋体" w:cs="宋体" w:eastAsia="宋体" w:hAnsi="宋体"/>
          <w:sz w:val="32"/>
          <w:szCs w:val="32"/>
          <w:color w:val="auto"/>
        </w:rPr>
        <w:t>。六是积极开展增值税专用发票电子化试点，在集贸市场全面推行代开增值税电子普通发票。</w:t>
      </w:r>
    </w:p>
    <w:p>
      <w:pPr>
        <w:spacing w:after="0" w:line="211" w:lineRule="exact"/>
        <w:rPr>
          <w:sz w:val="20"/>
          <w:szCs w:val="20"/>
          <w:color w:val="auto"/>
        </w:rPr>
      </w:pPr>
    </w:p>
    <w:p>
      <w:pPr>
        <w:ind w:left="360" w:right="206" w:firstLine="641"/>
        <w:spacing w:after="0" w:line="541" w:lineRule="exact"/>
        <w:rPr>
          <w:sz w:val="20"/>
          <w:szCs w:val="20"/>
          <w:color w:val="auto"/>
        </w:rPr>
      </w:pPr>
      <w:r>
        <w:rPr>
          <w:rFonts w:ascii="Calibri" w:cs="Calibri" w:eastAsia="Calibri" w:hAnsi="Calibri"/>
          <w:sz w:val="32"/>
          <w:szCs w:val="32"/>
          <w:color w:val="auto"/>
        </w:rPr>
        <w:t>3.</w:t>
      </w:r>
      <w:r>
        <w:rPr>
          <w:rFonts w:ascii="宋体" w:cs="宋体" w:eastAsia="宋体" w:hAnsi="宋体"/>
          <w:sz w:val="32"/>
          <w:szCs w:val="32"/>
          <w:color w:val="auto"/>
        </w:rPr>
        <w:t>不断提升不动产登记便利度。扩大</w:t>
      </w:r>
      <w:r>
        <w:rPr>
          <w:rFonts w:ascii="Arial" w:cs="Arial" w:eastAsia="Arial" w:hAnsi="Arial"/>
          <w:sz w:val="32"/>
          <w:szCs w:val="32"/>
          <w:color w:val="auto"/>
        </w:rPr>
        <w:t>“</w:t>
      </w:r>
      <w:r>
        <w:rPr>
          <w:rFonts w:ascii="宋体" w:cs="宋体" w:eastAsia="宋体" w:hAnsi="宋体"/>
          <w:sz w:val="32"/>
          <w:szCs w:val="32"/>
          <w:color w:val="auto"/>
        </w:rPr>
        <w:t>全程网办</w:t>
      </w:r>
      <w:r>
        <w:rPr>
          <w:rFonts w:ascii="Arial" w:cs="Arial" w:eastAsia="Arial" w:hAnsi="Arial"/>
          <w:sz w:val="32"/>
          <w:szCs w:val="32"/>
          <w:color w:val="auto"/>
        </w:rPr>
        <w:t>”</w:t>
      </w:r>
      <w:r>
        <w:rPr>
          <w:rFonts w:ascii="宋体" w:cs="宋体" w:eastAsia="宋体" w:hAnsi="宋体"/>
          <w:sz w:val="32"/>
          <w:szCs w:val="32"/>
          <w:color w:val="auto"/>
        </w:rPr>
        <w:t>范围，深化企业和个人不动产登记</w:t>
      </w:r>
      <w:r>
        <w:rPr>
          <w:rFonts w:ascii="Arial" w:cs="Arial" w:eastAsia="Arial" w:hAnsi="Arial"/>
          <w:sz w:val="32"/>
          <w:szCs w:val="32"/>
          <w:color w:val="auto"/>
        </w:rPr>
        <w:t>“</w:t>
      </w:r>
      <w:r>
        <w:rPr>
          <w:rFonts w:ascii="宋体" w:cs="宋体" w:eastAsia="宋体" w:hAnsi="宋体"/>
          <w:sz w:val="32"/>
          <w:szCs w:val="32"/>
          <w:color w:val="auto"/>
        </w:rPr>
        <w:t>一网通办</w:t>
      </w:r>
      <w:r>
        <w:rPr>
          <w:rFonts w:ascii="Arial" w:cs="Arial" w:eastAsia="Arial" w:hAnsi="Arial"/>
          <w:sz w:val="32"/>
          <w:szCs w:val="32"/>
          <w:color w:val="auto"/>
        </w:rPr>
        <w:t>”</w:t>
      </w:r>
      <w:r>
        <w:rPr>
          <w:rFonts w:ascii="宋体" w:cs="宋体" w:eastAsia="宋体" w:hAnsi="宋体"/>
          <w:sz w:val="32"/>
          <w:szCs w:val="32"/>
          <w:color w:val="auto"/>
        </w:rPr>
        <w:t>。一是拓展企业交易查询服务，完善本市不动产登记服务平台功能，交易主体输入不动产坐落即可查询企业营业、欠税、不动产分区规定、公用事业费缴纳等政府信息。二是进一步提高企业不动产登记</w:t>
      </w:r>
      <w:r>
        <w:rPr>
          <w:rFonts w:ascii="Arial" w:cs="Arial" w:eastAsia="Arial" w:hAnsi="Arial"/>
          <w:sz w:val="32"/>
          <w:szCs w:val="32"/>
          <w:color w:val="auto"/>
        </w:rPr>
        <w:t>“</w:t>
      </w:r>
      <w:r>
        <w:rPr>
          <w:rFonts w:ascii="宋体" w:cs="宋体" w:eastAsia="宋体" w:hAnsi="宋体"/>
          <w:sz w:val="32"/>
          <w:szCs w:val="32"/>
          <w:color w:val="auto"/>
        </w:rPr>
        <w:t>全程网办</w:t>
      </w:r>
      <w:r>
        <w:rPr>
          <w:rFonts w:ascii="Arial" w:cs="Arial" w:eastAsia="Arial" w:hAnsi="Arial"/>
          <w:sz w:val="32"/>
          <w:szCs w:val="32"/>
          <w:color w:val="auto"/>
        </w:rPr>
        <w:t>”</w:t>
      </w:r>
      <w:r>
        <w:rPr>
          <w:rFonts w:ascii="宋体" w:cs="宋体" w:eastAsia="宋体" w:hAnsi="宋体"/>
          <w:sz w:val="32"/>
          <w:szCs w:val="32"/>
          <w:color w:val="auto"/>
        </w:rPr>
        <w:t>效率，推行存量房交易税款智能审核，减少企业办理等待时间。三是推动个人不动产交易便利化改革，开展个人不动产登记身份信息变更和存量房买卖电子完税证明网上办理，实现中介机构办理个人存量房屋买卖业务全程</w:t>
      </w:r>
      <w:r>
        <w:rPr>
          <w:rFonts w:ascii="Arial" w:cs="Arial" w:eastAsia="Arial" w:hAnsi="Arial"/>
          <w:sz w:val="32"/>
          <w:szCs w:val="32"/>
          <w:color w:val="auto"/>
        </w:rPr>
        <w:t>“</w:t>
      </w:r>
      <w:r>
        <w:rPr>
          <w:rFonts w:ascii="宋体" w:cs="宋体" w:eastAsia="宋体" w:hAnsi="宋体"/>
          <w:sz w:val="32"/>
          <w:szCs w:val="32"/>
          <w:color w:val="auto"/>
        </w:rPr>
        <w:t>一网通办</w:t>
      </w:r>
      <w:r>
        <w:rPr>
          <w:rFonts w:ascii="Arial" w:cs="Arial" w:eastAsia="Arial" w:hAnsi="Arial"/>
          <w:sz w:val="32"/>
          <w:szCs w:val="32"/>
          <w:color w:val="auto"/>
        </w:rPr>
        <w:t>”</w:t>
      </w:r>
      <w:r>
        <w:rPr>
          <w:rFonts w:ascii="宋体" w:cs="宋体" w:eastAsia="宋体" w:hAnsi="宋体"/>
          <w:sz w:val="32"/>
          <w:szCs w:val="32"/>
          <w:color w:val="auto"/>
        </w:rPr>
        <w:t>。四是推动不动产登记与水、电、气、有线电视等市政公用企业信息共享，实现同步过户。</w:t>
      </w:r>
    </w:p>
    <w:p>
      <w:pPr>
        <w:spacing w:after="0" w:line="202"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（六）营造更加规范的监管执法环境</w:t>
      </w:r>
    </w:p>
    <w:p>
      <w:pPr>
        <w:spacing w:after="0" w:line="245" w:lineRule="exact"/>
        <w:rPr>
          <w:sz w:val="20"/>
          <w:szCs w:val="20"/>
          <w:color w:val="auto"/>
        </w:rPr>
      </w:pPr>
    </w:p>
    <w:p>
      <w:pPr>
        <w:jc w:val="both"/>
        <w:ind w:left="360" w:right="346" w:firstLine="641"/>
        <w:spacing w:after="0" w:line="498" w:lineRule="exact"/>
        <w:rPr>
          <w:sz w:val="20"/>
          <w:szCs w:val="20"/>
          <w:color w:val="auto"/>
        </w:rPr>
      </w:pPr>
      <w:r>
        <w:rPr>
          <w:rFonts w:ascii="宋体" w:cs="宋体" w:eastAsia="宋体" w:hAnsi="宋体"/>
          <w:sz w:val="31"/>
          <w:szCs w:val="31"/>
          <w:color w:val="auto"/>
        </w:rPr>
        <w:t>加强政府监管顶层设计，实行分级分类监管。建立以信用为基础的监管制度，完善</w:t>
      </w:r>
      <w:r>
        <w:rPr>
          <w:rFonts w:ascii="Arial" w:cs="Arial" w:eastAsia="Arial" w:hAnsi="Arial"/>
          <w:sz w:val="31"/>
          <w:szCs w:val="31"/>
          <w:color w:val="auto"/>
        </w:rPr>
        <w:t>“</w:t>
      </w:r>
      <w:r>
        <w:rPr>
          <w:rFonts w:ascii="宋体" w:cs="宋体" w:eastAsia="宋体" w:hAnsi="宋体"/>
          <w:sz w:val="31"/>
          <w:szCs w:val="31"/>
          <w:color w:val="auto"/>
        </w:rPr>
        <w:t>双随机、一公开</w:t>
      </w:r>
      <w:r>
        <w:rPr>
          <w:rFonts w:ascii="Arial" w:cs="Arial" w:eastAsia="Arial" w:hAnsi="Arial"/>
          <w:sz w:val="31"/>
          <w:szCs w:val="31"/>
          <w:color w:val="auto"/>
        </w:rPr>
        <w:t>”</w:t>
      </w:r>
      <w:r>
        <w:rPr>
          <w:rFonts w:ascii="宋体" w:cs="宋体" w:eastAsia="宋体" w:hAnsi="宋体"/>
          <w:sz w:val="31"/>
          <w:szCs w:val="31"/>
          <w:color w:val="auto"/>
        </w:rPr>
        <w:t>监管，持续推进</w:t>
      </w:r>
      <w:r>
        <w:rPr>
          <w:rFonts w:ascii="Arial" w:cs="Arial" w:eastAsia="Arial" w:hAnsi="Arial"/>
          <w:sz w:val="31"/>
          <w:szCs w:val="31"/>
          <w:color w:val="auto"/>
        </w:rPr>
        <w:t>“</w:t>
      </w:r>
      <w:r>
        <w:rPr>
          <w:rFonts w:ascii="宋体" w:cs="宋体" w:eastAsia="宋体" w:hAnsi="宋体"/>
          <w:sz w:val="31"/>
          <w:szCs w:val="31"/>
          <w:color w:val="auto"/>
        </w:rPr>
        <w:t>互联网</w:t>
      </w:r>
      <w:r>
        <w:rPr>
          <w:rFonts w:ascii="Calibri" w:cs="Calibri" w:eastAsia="Calibri" w:hAnsi="Calibri"/>
          <w:sz w:val="31"/>
          <w:szCs w:val="31"/>
          <w:color w:val="auto"/>
        </w:rPr>
        <w:t>+</w:t>
      </w:r>
      <w:r>
        <w:rPr>
          <w:rFonts w:ascii="宋体" w:cs="宋体" w:eastAsia="宋体" w:hAnsi="宋体"/>
          <w:sz w:val="31"/>
          <w:szCs w:val="31"/>
          <w:color w:val="auto"/>
        </w:rPr>
        <w:t>监管</w:t>
      </w:r>
      <w:r>
        <w:rPr>
          <w:rFonts w:ascii="Arial" w:cs="Arial" w:eastAsia="Arial" w:hAnsi="Arial"/>
          <w:sz w:val="31"/>
          <w:szCs w:val="31"/>
          <w:color w:val="auto"/>
        </w:rPr>
        <w:t>”</w:t>
      </w:r>
      <w:r>
        <w:rPr>
          <w:rFonts w:ascii="宋体" w:cs="宋体" w:eastAsia="宋体" w:hAnsi="宋体"/>
          <w:sz w:val="31"/>
          <w:szCs w:val="31"/>
          <w:color w:val="auto"/>
        </w:rPr>
        <w:t>和跨部门协同监管，加快构建权责明确、公平公正、公开透明、简约高效的事中事后监管体系。</w:t>
      </w:r>
    </w:p>
    <w:p>
      <w:pPr>
        <w:spacing w:after="0" w:line="213" w:lineRule="exact"/>
        <w:rPr>
          <w:sz w:val="20"/>
          <w:szCs w:val="20"/>
          <w:color w:val="auto"/>
        </w:rPr>
      </w:pPr>
    </w:p>
    <w:p>
      <w:pPr>
        <w:ind w:left="360" w:right="206" w:firstLine="641"/>
        <w:spacing w:after="0" w:line="529" w:lineRule="exact"/>
        <w:rPr>
          <w:sz w:val="20"/>
          <w:szCs w:val="20"/>
          <w:color w:val="auto"/>
        </w:rPr>
      </w:pPr>
      <w:r>
        <w:rPr>
          <w:rFonts w:ascii="Calibri" w:cs="Calibri" w:eastAsia="Calibri" w:hAnsi="Calibri"/>
          <w:sz w:val="32"/>
          <w:szCs w:val="32"/>
          <w:color w:val="auto"/>
        </w:rPr>
        <w:t>1.</w:t>
      </w:r>
      <w:r>
        <w:rPr>
          <w:rFonts w:ascii="宋体" w:cs="宋体" w:eastAsia="宋体" w:hAnsi="宋体"/>
          <w:sz w:val="32"/>
          <w:szCs w:val="32"/>
          <w:color w:val="auto"/>
        </w:rPr>
        <w:t>大力推动</w:t>
      </w:r>
      <w:r>
        <w:rPr>
          <w:rFonts w:ascii="Arial" w:cs="Arial" w:eastAsia="Arial" w:hAnsi="Arial"/>
          <w:sz w:val="32"/>
          <w:szCs w:val="32"/>
          <w:color w:val="auto"/>
        </w:rPr>
        <w:t>“</w:t>
      </w:r>
      <w:r>
        <w:rPr>
          <w:rFonts w:ascii="宋体" w:cs="宋体" w:eastAsia="宋体" w:hAnsi="宋体"/>
          <w:sz w:val="32"/>
          <w:szCs w:val="32"/>
          <w:color w:val="auto"/>
        </w:rPr>
        <w:t>双随机、一公开</w:t>
      </w:r>
      <w:r>
        <w:rPr>
          <w:rFonts w:ascii="Arial" w:cs="Arial" w:eastAsia="Arial" w:hAnsi="Arial"/>
          <w:sz w:val="32"/>
          <w:szCs w:val="32"/>
          <w:color w:val="auto"/>
        </w:rPr>
        <w:t>”</w:t>
      </w:r>
      <w:r>
        <w:rPr>
          <w:rFonts w:ascii="宋体" w:cs="宋体" w:eastAsia="宋体" w:hAnsi="宋体"/>
          <w:sz w:val="32"/>
          <w:szCs w:val="32"/>
          <w:color w:val="auto"/>
        </w:rPr>
        <w:t>监管全覆盖。一是除特殊行业、重点领域外，按照不同风险级别开展</w:t>
      </w:r>
      <w:r>
        <w:rPr>
          <w:rFonts w:ascii="Arial" w:cs="Arial" w:eastAsia="Arial" w:hAnsi="Arial"/>
          <w:sz w:val="32"/>
          <w:szCs w:val="32"/>
          <w:color w:val="auto"/>
        </w:rPr>
        <w:t>“</w:t>
      </w:r>
      <w:r>
        <w:rPr>
          <w:rFonts w:ascii="宋体" w:cs="宋体" w:eastAsia="宋体" w:hAnsi="宋体"/>
          <w:sz w:val="32"/>
          <w:szCs w:val="32"/>
          <w:color w:val="auto"/>
        </w:rPr>
        <w:t>双随机、一公开</w:t>
      </w:r>
      <w:r>
        <w:rPr>
          <w:rFonts w:ascii="Arial" w:cs="Arial" w:eastAsia="Arial" w:hAnsi="Arial"/>
          <w:sz w:val="32"/>
          <w:szCs w:val="32"/>
          <w:color w:val="auto"/>
        </w:rPr>
        <w:t>”</w:t>
      </w:r>
      <w:r>
        <w:rPr>
          <w:rFonts w:ascii="宋体" w:cs="宋体" w:eastAsia="宋体" w:hAnsi="宋体"/>
          <w:sz w:val="32"/>
          <w:szCs w:val="32"/>
          <w:color w:val="auto"/>
        </w:rPr>
        <w:t>监管，大幅压减检查次数。二是按照</w:t>
      </w:r>
      <w:r>
        <w:rPr>
          <w:rFonts w:ascii="Arial" w:cs="Arial" w:eastAsia="Arial" w:hAnsi="Arial"/>
          <w:sz w:val="32"/>
          <w:szCs w:val="32"/>
          <w:color w:val="auto"/>
        </w:rPr>
        <w:t>“</w:t>
      </w:r>
      <w:r>
        <w:rPr>
          <w:rFonts w:ascii="宋体" w:cs="宋体" w:eastAsia="宋体" w:hAnsi="宋体"/>
          <w:sz w:val="32"/>
          <w:szCs w:val="32"/>
          <w:color w:val="auto"/>
        </w:rPr>
        <w:t>谁审批谁监管、谁主管谁监管</w:t>
      </w:r>
      <w:r>
        <w:rPr>
          <w:rFonts w:ascii="Arial" w:cs="Arial" w:eastAsia="Arial" w:hAnsi="Arial"/>
          <w:sz w:val="32"/>
          <w:szCs w:val="32"/>
          <w:color w:val="auto"/>
        </w:rPr>
        <w:t>”</w:t>
      </w:r>
      <w:r>
        <w:rPr>
          <w:rFonts w:ascii="宋体" w:cs="宋体" w:eastAsia="宋体" w:hAnsi="宋体"/>
          <w:sz w:val="32"/>
          <w:szCs w:val="32"/>
          <w:color w:val="auto"/>
        </w:rPr>
        <w:t>的原则，继续扩大</w:t>
      </w:r>
      <w:r>
        <w:rPr>
          <w:rFonts w:ascii="Arial" w:cs="Arial" w:eastAsia="Arial" w:hAnsi="Arial"/>
          <w:sz w:val="32"/>
          <w:szCs w:val="32"/>
          <w:color w:val="auto"/>
        </w:rPr>
        <w:t>“</w:t>
      </w:r>
      <w:r>
        <w:rPr>
          <w:rFonts w:ascii="宋体" w:cs="宋体" w:eastAsia="宋体" w:hAnsi="宋体"/>
          <w:sz w:val="32"/>
          <w:szCs w:val="32"/>
          <w:color w:val="auto"/>
        </w:rPr>
        <w:t>双随机、一公开</w:t>
      </w:r>
      <w:r>
        <w:rPr>
          <w:rFonts w:ascii="Arial" w:cs="Arial" w:eastAsia="Arial" w:hAnsi="Arial"/>
          <w:sz w:val="32"/>
          <w:szCs w:val="32"/>
          <w:color w:val="auto"/>
        </w:rPr>
        <w:t>”</w:t>
      </w:r>
      <w:r>
        <w:rPr>
          <w:rFonts w:ascii="宋体" w:cs="宋体" w:eastAsia="宋体" w:hAnsi="宋体"/>
          <w:sz w:val="32"/>
          <w:szCs w:val="32"/>
          <w:color w:val="auto"/>
        </w:rPr>
        <w:t>监管实施范围，各部门涉企</w:t>
      </w:r>
      <w:r>
        <w:rPr>
          <w:rFonts w:ascii="Arial" w:cs="Arial" w:eastAsia="Arial" w:hAnsi="Arial"/>
          <w:sz w:val="32"/>
          <w:szCs w:val="32"/>
          <w:color w:val="auto"/>
        </w:rPr>
        <w:t>“</w:t>
      </w:r>
      <w:r>
        <w:rPr>
          <w:rFonts w:ascii="宋体" w:cs="宋体" w:eastAsia="宋体" w:hAnsi="宋体"/>
          <w:sz w:val="32"/>
          <w:szCs w:val="32"/>
          <w:color w:val="auto"/>
        </w:rPr>
        <w:t>双随机</w:t>
      </w:r>
      <w:r>
        <w:rPr>
          <w:rFonts w:ascii="Arial" w:cs="Arial" w:eastAsia="Arial" w:hAnsi="Arial"/>
          <w:sz w:val="32"/>
          <w:szCs w:val="32"/>
          <w:color w:val="auto"/>
        </w:rPr>
        <w:t>”</w:t>
      </w:r>
      <w:r>
        <w:rPr>
          <w:rFonts w:ascii="宋体" w:cs="宋体" w:eastAsia="宋体" w:hAnsi="宋体"/>
          <w:sz w:val="32"/>
          <w:szCs w:val="32"/>
          <w:color w:val="auto"/>
        </w:rPr>
        <w:t>检查事项覆盖率不低于</w:t>
      </w:r>
      <w:r>
        <w:rPr>
          <w:rFonts w:ascii="Arial" w:cs="Arial" w:eastAsia="Arial" w:hAnsi="Arial"/>
          <w:sz w:val="32"/>
          <w:szCs w:val="32"/>
          <w:color w:val="auto"/>
        </w:rPr>
        <w:t xml:space="preserve"> </w:t>
      </w:r>
      <w:r>
        <w:rPr>
          <w:rFonts w:ascii="Calibri" w:cs="Calibri" w:eastAsia="Calibri" w:hAnsi="Calibri"/>
          <w:sz w:val="32"/>
          <w:szCs w:val="32"/>
          <w:color w:val="auto"/>
        </w:rPr>
        <w:t>90%</w:t>
      </w:r>
      <w:r>
        <w:rPr>
          <w:rFonts w:ascii="宋体" w:cs="宋体" w:eastAsia="宋体" w:hAnsi="宋体"/>
          <w:sz w:val="32"/>
          <w:szCs w:val="32"/>
          <w:color w:val="auto"/>
        </w:rPr>
        <w:t>。</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ind w:left="4380"/>
        <w:spacing w:after="0" w:line="308" w:lineRule="exact"/>
        <w:rPr>
          <w:sz w:val="20"/>
          <w:szCs w:val="20"/>
          <w:color w:val="auto"/>
        </w:rPr>
      </w:pPr>
      <w:r>
        <w:rPr>
          <w:rFonts w:ascii="宋体" w:cs="宋体" w:eastAsia="宋体" w:hAnsi="宋体"/>
          <w:sz w:val="27"/>
          <w:szCs w:val="27"/>
          <w:color w:val="auto"/>
        </w:rPr>
        <w:t>- 36 -</w:t>
      </w:r>
    </w:p>
    <w:p>
      <w:pPr>
        <w:sectPr>
          <w:pgSz w:w="11900" w:h="16838" w:orient="portrait"/>
          <w:cols w:equalWidth="0" w:num="1">
            <w:col w:w="9026"/>
          </w:cols>
          <w:pgMar w:left="1440" w:top="1440" w:right="1440" w:bottom="500" w:gutter="0" w:footer="0" w:header="0"/>
          <w:type w:val="continuous"/>
        </w:sectPr>
      </w:pPr>
    </w:p>
    <w:bookmarkStart w:id="38" w:name="page39"/>
    <w:bookmarkEnd w:id="38"/>
    <w:p>
      <w:pPr>
        <w:spacing w:after="0" w:line="177" w:lineRule="exact"/>
        <w:rPr>
          <w:sz w:val="20"/>
          <w:szCs w:val="20"/>
          <w:color w:val="auto"/>
        </w:rPr>
      </w:pPr>
    </w:p>
    <w:p>
      <w:pPr>
        <w:ind w:left="360" w:right="206"/>
        <w:spacing w:after="0" w:line="499" w:lineRule="exact"/>
        <w:rPr>
          <w:sz w:val="20"/>
          <w:szCs w:val="20"/>
          <w:color w:val="auto"/>
        </w:rPr>
      </w:pPr>
      <w:r>
        <w:rPr>
          <w:rFonts w:ascii="宋体" w:cs="宋体" w:eastAsia="宋体" w:hAnsi="宋体"/>
          <w:sz w:val="32"/>
          <w:szCs w:val="32"/>
          <w:color w:val="auto"/>
        </w:rPr>
        <w:t>三是进一步拓展部门联合</w:t>
      </w:r>
      <w:r>
        <w:rPr>
          <w:rFonts w:ascii="Arial" w:cs="Arial" w:eastAsia="Arial" w:hAnsi="Arial"/>
          <w:sz w:val="32"/>
          <w:szCs w:val="32"/>
          <w:color w:val="auto"/>
        </w:rPr>
        <w:t>“</w:t>
      </w:r>
      <w:r>
        <w:rPr>
          <w:rFonts w:ascii="宋体" w:cs="宋体" w:eastAsia="宋体" w:hAnsi="宋体"/>
          <w:sz w:val="32"/>
          <w:szCs w:val="32"/>
          <w:color w:val="auto"/>
        </w:rPr>
        <w:t>双随机、一公开</w:t>
      </w:r>
      <w:r>
        <w:rPr>
          <w:rFonts w:ascii="Arial" w:cs="Arial" w:eastAsia="Arial" w:hAnsi="Arial"/>
          <w:sz w:val="32"/>
          <w:szCs w:val="32"/>
          <w:color w:val="auto"/>
        </w:rPr>
        <w:t>”</w:t>
      </w:r>
      <w:r>
        <w:rPr>
          <w:rFonts w:ascii="宋体" w:cs="宋体" w:eastAsia="宋体" w:hAnsi="宋体"/>
          <w:sz w:val="32"/>
          <w:szCs w:val="32"/>
          <w:color w:val="auto"/>
        </w:rPr>
        <w:t>监管覆盖范围，制定第二批跨部门联合抽查事项清单，将各部门检查频次高、对企业干扰大且适合合并的检查事项全部纳入跨部门联合抽查范围。</w:t>
      </w:r>
    </w:p>
    <w:p>
      <w:pPr>
        <w:spacing w:after="0" w:line="209" w:lineRule="exact"/>
        <w:rPr>
          <w:sz w:val="20"/>
          <w:szCs w:val="20"/>
          <w:color w:val="auto"/>
        </w:rPr>
      </w:pPr>
    </w:p>
    <w:p>
      <w:pPr>
        <w:jc w:val="both"/>
        <w:ind w:left="360" w:right="346" w:firstLine="641"/>
        <w:spacing w:after="0" w:line="542" w:lineRule="exact"/>
        <w:rPr>
          <w:sz w:val="20"/>
          <w:szCs w:val="20"/>
          <w:color w:val="auto"/>
        </w:rPr>
      </w:pPr>
      <w:r>
        <w:rPr>
          <w:rFonts w:ascii="Calibri" w:cs="Calibri" w:eastAsia="Calibri" w:hAnsi="Calibri"/>
          <w:sz w:val="31"/>
          <w:szCs w:val="31"/>
          <w:color w:val="auto"/>
        </w:rPr>
        <w:t>2.</w:t>
      </w:r>
      <w:r>
        <w:rPr>
          <w:rFonts w:ascii="宋体" w:cs="宋体" w:eastAsia="宋体" w:hAnsi="宋体"/>
          <w:sz w:val="31"/>
          <w:szCs w:val="31"/>
          <w:color w:val="auto"/>
        </w:rPr>
        <w:t>加强全流程信用监管。一是健全事前信用核查、信用承诺，事中信用评价，事后信用公示、信用奖惩和信用修复等全流程信用监管机制。二是出台公共信用评价标准，依托本市公共信用信息服务平台，综合研判市场主体信用情况，形成公共信用综合评价结果，并及时与各行业主管部门共享。三是率先在教育、科技、住房城乡建设、交通、水务、商务、文化旅游等领域出台信用评价办法，推动建立以公共信用综合评价结果、行业信用评价结果等为依据的分级分类监管体系。四是积极推动告知承诺事项违诺失信行为认定标准和流程落地，完整记录承诺履行信息，并纳入本市公共信用信息平台；对履诺记录良好的市场主体给予优惠和便利，对失信违诺的加大追责和惩戒力度。</w:t>
      </w:r>
    </w:p>
    <w:p>
      <w:pPr>
        <w:spacing w:after="0" w:line="224" w:lineRule="exact"/>
        <w:rPr>
          <w:sz w:val="20"/>
          <w:szCs w:val="20"/>
          <w:color w:val="auto"/>
        </w:rPr>
      </w:pPr>
    </w:p>
    <w:p>
      <w:pPr>
        <w:ind w:left="360" w:right="206" w:firstLine="641"/>
        <w:spacing w:after="0" w:line="534" w:lineRule="exact"/>
        <w:rPr>
          <w:sz w:val="20"/>
          <w:szCs w:val="20"/>
          <w:color w:val="auto"/>
        </w:rPr>
      </w:pPr>
      <w:r>
        <w:rPr>
          <w:rFonts w:ascii="Calibri" w:cs="Calibri" w:eastAsia="Calibri" w:hAnsi="Calibri"/>
          <w:sz w:val="32"/>
          <w:szCs w:val="32"/>
          <w:color w:val="auto"/>
          <w:w w:val="99"/>
        </w:rPr>
        <w:t>3.</w:t>
      </w:r>
      <w:r>
        <w:rPr>
          <w:rFonts w:ascii="宋体" w:cs="宋体" w:eastAsia="宋体" w:hAnsi="宋体"/>
          <w:sz w:val="32"/>
          <w:szCs w:val="32"/>
          <w:color w:val="auto"/>
          <w:w w:val="99"/>
        </w:rPr>
        <w:t>创新包容审慎监管。针对新业态、新模式的性质和特点，探索开展</w:t>
      </w:r>
      <w:r>
        <w:rPr>
          <w:rFonts w:ascii="Arial" w:cs="Arial" w:eastAsia="Arial" w:hAnsi="Arial"/>
          <w:sz w:val="32"/>
          <w:szCs w:val="32"/>
          <w:color w:val="auto"/>
          <w:w w:val="99"/>
        </w:rPr>
        <w:t>“</w:t>
      </w:r>
      <w:r>
        <w:rPr>
          <w:rFonts w:ascii="宋体" w:cs="宋体" w:eastAsia="宋体" w:hAnsi="宋体"/>
          <w:sz w:val="32"/>
          <w:szCs w:val="32"/>
          <w:color w:val="auto"/>
          <w:w w:val="99"/>
        </w:rPr>
        <w:t>沙盒监管</w:t>
      </w:r>
      <w:r>
        <w:rPr>
          <w:rFonts w:ascii="Arial" w:cs="Arial" w:eastAsia="Arial" w:hAnsi="Arial"/>
          <w:sz w:val="32"/>
          <w:szCs w:val="32"/>
          <w:color w:val="auto"/>
          <w:w w:val="99"/>
        </w:rPr>
        <w:t>”</w:t>
      </w:r>
      <w:r>
        <w:rPr>
          <w:rFonts w:ascii="宋体" w:cs="宋体" w:eastAsia="宋体" w:hAnsi="宋体"/>
          <w:sz w:val="32"/>
          <w:szCs w:val="32"/>
          <w:color w:val="auto"/>
          <w:w w:val="99"/>
        </w:rPr>
        <w:t>、触发式监管等模式，发挥平台监管和行业自律作用，在部分领域实施柔性监管、智慧监管。一是持续推进</w:t>
      </w:r>
      <w:r>
        <w:rPr>
          <w:rFonts w:ascii="Arial" w:cs="Arial" w:eastAsia="Arial" w:hAnsi="Arial"/>
          <w:sz w:val="32"/>
          <w:szCs w:val="32"/>
          <w:color w:val="auto"/>
          <w:w w:val="99"/>
        </w:rPr>
        <w:t>“</w:t>
      </w:r>
      <w:r>
        <w:rPr>
          <w:rFonts w:ascii="宋体" w:cs="宋体" w:eastAsia="宋体" w:hAnsi="宋体"/>
          <w:sz w:val="32"/>
          <w:szCs w:val="32"/>
          <w:color w:val="auto"/>
          <w:w w:val="99"/>
        </w:rPr>
        <w:t>互联网</w:t>
      </w:r>
      <w:r>
        <w:rPr>
          <w:rFonts w:ascii="Calibri" w:cs="Calibri" w:eastAsia="Calibri" w:hAnsi="Calibri"/>
          <w:sz w:val="32"/>
          <w:szCs w:val="32"/>
          <w:color w:val="auto"/>
          <w:w w:val="99"/>
        </w:rPr>
        <w:t>+</w:t>
      </w:r>
      <w:r>
        <w:rPr>
          <w:rFonts w:ascii="宋体" w:cs="宋体" w:eastAsia="宋体" w:hAnsi="宋体"/>
          <w:sz w:val="32"/>
          <w:szCs w:val="32"/>
          <w:color w:val="auto"/>
          <w:w w:val="99"/>
        </w:rPr>
        <w:t>监管</w:t>
      </w:r>
      <w:r>
        <w:rPr>
          <w:rFonts w:ascii="Arial" w:cs="Arial" w:eastAsia="Arial" w:hAnsi="Arial"/>
          <w:sz w:val="32"/>
          <w:szCs w:val="32"/>
          <w:color w:val="auto"/>
          <w:w w:val="99"/>
        </w:rPr>
        <w:t>”</w:t>
      </w:r>
      <w:r>
        <w:rPr>
          <w:rFonts w:ascii="宋体" w:cs="宋体" w:eastAsia="宋体" w:hAnsi="宋体"/>
          <w:sz w:val="32"/>
          <w:szCs w:val="32"/>
          <w:color w:val="auto"/>
          <w:w w:val="99"/>
        </w:rPr>
        <w:t>，加强重点领域数据汇集，强化风险跟踪预警。二是研究制定本市新产业新业态包容审慎监管实施细则，探索开展金融科技、网上直播和短视频营销等领域</w:t>
      </w:r>
      <w:r>
        <w:rPr>
          <w:rFonts w:ascii="Arial" w:cs="Arial" w:eastAsia="Arial" w:hAnsi="Arial"/>
          <w:sz w:val="32"/>
          <w:szCs w:val="32"/>
          <w:color w:val="auto"/>
          <w:w w:val="99"/>
        </w:rPr>
        <w:t>“</w:t>
      </w:r>
      <w:r>
        <w:rPr>
          <w:rFonts w:ascii="宋体" w:cs="宋体" w:eastAsia="宋体" w:hAnsi="宋体"/>
          <w:sz w:val="32"/>
          <w:szCs w:val="32"/>
          <w:color w:val="auto"/>
          <w:w w:val="99"/>
        </w:rPr>
        <w:t>沙盒监管</w:t>
      </w:r>
      <w:r>
        <w:rPr>
          <w:rFonts w:ascii="Arial" w:cs="Arial" w:eastAsia="Arial" w:hAnsi="Arial"/>
          <w:sz w:val="32"/>
          <w:szCs w:val="32"/>
          <w:color w:val="auto"/>
          <w:w w:val="99"/>
        </w:rPr>
        <w:t>”</w:t>
      </w:r>
      <w:r>
        <w:rPr>
          <w:rFonts w:ascii="宋体" w:cs="宋体" w:eastAsia="宋体" w:hAnsi="宋体"/>
          <w:sz w:val="32"/>
          <w:szCs w:val="32"/>
          <w:color w:val="auto"/>
          <w:w w:val="99"/>
        </w:rPr>
        <w:t>。三是加快建设在线医疗服务监管平台，对在线诊疗服务进行全面、全程监管，通过系统预警，</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ind w:left="4380"/>
        <w:spacing w:after="0" w:line="308" w:lineRule="exact"/>
        <w:rPr>
          <w:sz w:val="20"/>
          <w:szCs w:val="20"/>
          <w:color w:val="auto"/>
        </w:rPr>
      </w:pPr>
      <w:r>
        <w:rPr>
          <w:rFonts w:ascii="宋体" w:cs="宋体" w:eastAsia="宋体" w:hAnsi="宋体"/>
          <w:sz w:val="27"/>
          <w:szCs w:val="27"/>
          <w:color w:val="auto"/>
        </w:rPr>
        <w:t>- 37 -</w:t>
      </w:r>
    </w:p>
    <w:p>
      <w:pPr>
        <w:sectPr>
          <w:pgSz w:w="11900" w:h="16838" w:orient="portrait"/>
          <w:cols w:equalWidth="0" w:num="1">
            <w:col w:w="9026"/>
          </w:cols>
          <w:pgMar w:left="1440" w:top="1440" w:right="1440" w:bottom="500" w:gutter="0" w:footer="0" w:header="0"/>
          <w:type w:val="continuous"/>
        </w:sectPr>
      </w:pPr>
    </w:p>
    <w:bookmarkStart w:id="39" w:name="page40"/>
    <w:bookmarkEnd w:id="39"/>
    <w:p>
      <w:pPr>
        <w:spacing w:after="0" w:line="177" w:lineRule="exact"/>
        <w:rPr>
          <w:sz w:val="20"/>
          <w:szCs w:val="20"/>
          <w:color w:val="auto"/>
        </w:rPr>
      </w:pPr>
    </w:p>
    <w:p>
      <w:pPr>
        <w:jc w:val="both"/>
        <w:ind w:left="360" w:right="346"/>
        <w:spacing w:after="0" w:line="535" w:lineRule="exact"/>
        <w:rPr>
          <w:sz w:val="20"/>
          <w:szCs w:val="20"/>
          <w:color w:val="auto"/>
        </w:rPr>
      </w:pPr>
      <w:r>
        <w:rPr>
          <w:rFonts w:ascii="宋体" w:cs="宋体" w:eastAsia="宋体" w:hAnsi="宋体"/>
          <w:sz w:val="31"/>
          <w:szCs w:val="31"/>
          <w:color w:val="auto"/>
        </w:rPr>
        <w:t>及时统计分析违规行为，保障医疗安全。四是加强教育行政部门与有关职能部门、专业机构、行业协会和企业的合作，建立教育移动应用常态化的监测预警通报机制。五是对于在线旅游服务不诚信、滥用技术手段设置不公平交易条件等违法违规经营行为，首先通过约谈等行政指导方式予以提醒、警示、制止，并责令其限期整改。六是建立网约车平台公司信用记录，纳入全国信用信息共享平台，公示行政许可和行政处罚等信息。七是加快完善各领域监管标准体系，鼓励行业制定更高水平自律标准，在更多领域推行企业标准</w:t>
      </w:r>
      <w:r>
        <w:rPr>
          <w:rFonts w:ascii="Arial" w:cs="Arial" w:eastAsia="Arial" w:hAnsi="Arial"/>
          <w:sz w:val="31"/>
          <w:szCs w:val="31"/>
          <w:color w:val="auto"/>
        </w:rPr>
        <w:t>“</w:t>
      </w:r>
      <w:r>
        <w:rPr>
          <w:rFonts w:ascii="宋体" w:cs="宋体" w:eastAsia="宋体" w:hAnsi="宋体"/>
          <w:sz w:val="31"/>
          <w:szCs w:val="31"/>
          <w:color w:val="auto"/>
        </w:rPr>
        <w:t>领跑者</w:t>
      </w:r>
      <w:r>
        <w:rPr>
          <w:rFonts w:ascii="Arial" w:cs="Arial" w:eastAsia="Arial" w:hAnsi="Arial"/>
          <w:sz w:val="31"/>
          <w:szCs w:val="31"/>
          <w:color w:val="auto"/>
        </w:rPr>
        <w:t>”</w:t>
      </w:r>
      <w:r>
        <w:rPr>
          <w:rFonts w:ascii="宋体" w:cs="宋体" w:eastAsia="宋体" w:hAnsi="宋体"/>
          <w:sz w:val="31"/>
          <w:szCs w:val="31"/>
          <w:color w:val="auto"/>
        </w:rPr>
        <w:t>机制，推动产品竞争力提高和产业转型升级。</w:t>
      </w:r>
    </w:p>
    <w:p>
      <w:pPr>
        <w:spacing w:after="0" w:line="221" w:lineRule="exact"/>
        <w:rPr>
          <w:sz w:val="20"/>
          <w:szCs w:val="20"/>
          <w:color w:val="auto"/>
        </w:rPr>
      </w:pPr>
    </w:p>
    <w:p>
      <w:pPr>
        <w:ind w:left="360" w:right="206" w:firstLine="641"/>
        <w:spacing w:after="0" w:line="545" w:lineRule="exact"/>
        <w:rPr>
          <w:sz w:val="20"/>
          <w:szCs w:val="20"/>
          <w:color w:val="auto"/>
        </w:rPr>
      </w:pPr>
      <w:r>
        <w:rPr>
          <w:rFonts w:ascii="Calibri" w:cs="Calibri" w:eastAsia="Calibri" w:hAnsi="Calibri"/>
          <w:sz w:val="32"/>
          <w:szCs w:val="32"/>
          <w:color w:val="auto"/>
        </w:rPr>
        <w:t>4.</w:t>
      </w:r>
      <w:r>
        <w:rPr>
          <w:rFonts w:ascii="宋体" w:cs="宋体" w:eastAsia="宋体" w:hAnsi="宋体"/>
          <w:sz w:val="32"/>
          <w:szCs w:val="32"/>
          <w:color w:val="auto"/>
        </w:rPr>
        <w:t>进一步规范监管执法。一是完善权力事项清单，明确行业主管部门监管职责，改革和规范事中事后监管，以有效的事中事后监管促进精简审批和清理隐性壁垒；理顺行业主管部门与综合执法机构关系，建立权责明晰、运行高效的监管体系。二是对疫苗、药品、特种设备、危险化学品等直接涉及国家安全、公共安全和人民群众生命健康的行业、领域，研究制定全主体、全品种、全链条监管标准和流程，规范执法标准和行为，进一步提高监管效能。三是全面梳理形成本市涉企检查事项清单，建立全市统一的涉企检查综合信息平台，实施各部门双随机检查总量控制，切实增强涉企检查的规范性和系统性。四是推行远程监管、移动监管、预警防控等非现场监管，对能够通过非现场监管方式实现监管效果的事项，不再纳入现场检查。五是规范行使行政处罚自由裁量权，严格按照违法行为危害性和具体情节实施定档分阶裁</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ind w:left="4380"/>
        <w:spacing w:after="0" w:line="308" w:lineRule="exact"/>
        <w:rPr>
          <w:sz w:val="20"/>
          <w:szCs w:val="20"/>
          <w:color w:val="auto"/>
        </w:rPr>
      </w:pPr>
      <w:r>
        <w:rPr>
          <w:rFonts w:ascii="宋体" w:cs="宋体" w:eastAsia="宋体" w:hAnsi="宋体"/>
          <w:sz w:val="27"/>
          <w:szCs w:val="27"/>
          <w:color w:val="auto"/>
        </w:rPr>
        <w:t>- 38 -</w:t>
      </w:r>
    </w:p>
    <w:p>
      <w:pPr>
        <w:sectPr>
          <w:pgSz w:w="11900" w:h="16838" w:orient="portrait"/>
          <w:cols w:equalWidth="0" w:num="1">
            <w:col w:w="9026"/>
          </w:cols>
          <w:pgMar w:left="1440" w:top="1440" w:right="1440" w:bottom="500" w:gutter="0" w:footer="0" w:header="0"/>
          <w:type w:val="continuous"/>
        </w:sectPr>
      </w:pPr>
    </w:p>
    <w:bookmarkStart w:id="40" w:name="page41"/>
    <w:bookmarkEnd w:id="40"/>
    <w:p>
      <w:pPr>
        <w:spacing w:after="0" w:line="177" w:lineRule="exact"/>
        <w:rPr>
          <w:sz w:val="20"/>
          <w:szCs w:val="20"/>
          <w:color w:val="auto"/>
        </w:rPr>
      </w:pPr>
    </w:p>
    <w:p>
      <w:pPr>
        <w:jc w:val="both"/>
        <w:ind w:left="360" w:right="366"/>
        <w:spacing w:after="0" w:line="499" w:lineRule="exact"/>
        <w:rPr>
          <w:sz w:val="20"/>
          <w:szCs w:val="20"/>
          <w:color w:val="auto"/>
        </w:rPr>
      </w:pPr>
      <w:r>
        <w:rPr>
          <w:rFonts w:ascii="宋体" w:cs="宋体" w:eastAsia="宋体" w:hAnsi="宋体"/>
          <w:sz w:val="32"/>
          <w:szCs w:val="32"/>
          <w:color w:val="auto"/>
        </w:rPr>
        <w:t>量，解决执法不公、裁量失度问题。六是建立健全执法容错纠错机制，通过批评教育、指导约谈等行政指导措施，对违法行为轻微并及时纠正且未造成危害后果的，依法免予行政处罚。</w:t>
      </w:r>
    </w:p>
    <w:p>
      <w:pPr>
        <w:spacing w:after="0" w:line="196"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（七）营造更加公平公正的法治保障环境</w:t>
      </w:r>
    </w:p>
    <w:p>
      <w:pPr>
        <w:spacing w:after="0" w:line="242" w:lineRule="exact"/>
        <w:rPr>
          <w:sz w:val="20"/>
          <w:szCs w:val="20"/>
          <w:color w:val="auto"/>
        </w:rPr>
      </w:pPr>
    </w:p>
    <w:p>
      <w:pPr>
        <w:jc w:val="both"/>
        <w:ind w:left="360" w:right="366" w:firstLine="641"/>
        <w:spacing w:after="0" w:line="480" w:lineRule="exact"/>
        <w:rPr>
          <w:sz w:val="20"/>
          <w:szCs w:val="20"/>
          <w:color w:val="auto"/>
        </w:rPr>
      </w:pPr>
      <w:r>
        <w:rPr>
          <w:rFonts w:ascii="宋体" w:cs="宋体" w:eastAsia="宋体" w:hAnsi="宋体"/>
          <w:sz w:val="32"/>
          <w:szCs w:val="32"/>
          <w:color w:val="auto"/>
        </w:rPr>
        <w:t>建立以法治为基础的保障制度，提高审判执行质效，加大知识产权保护力度，加快完善仲裁制度，依法保护各类市场主体合法权益。</w:t>
      </w:r>
    </w:p>
    <w:p>
      <w:pPr>
        <w:spacing w:after="0" w:line="208" w:lineRule="exact"/>
        <w:rPr>
          <w:sz w:val="20"/>
          <w:szCs w:val="20"/>
          <w:color w:val="auto"/>
        </w:rPr>
      </w:pPr>
    </w:p>
    <w:p>
      <w:pPr>
        <w:jc w:val="both"/>
        <w:ind w:left="360" w:right="346" w:firstLine="641"/>
        <w:spacing w:after="0" w:line="542" w:lineRule="exact"/>
        <w:rPr>
          <w:sz w:val="20"/>
          <w:szCs w:val="20"/>
          <w:color w:val="auto"/>
        </w:rPr>
      </w:pPr>
      <w:r>
        <w:rPr>
          <w:rFonts w:ascii="Calibri" w:cs="Calibri" w:eastAsia="Calibri" w:hAnsi="Calibri"/>
          <w:sz w:val="32"/>
          <w:szCs w:val="32"/>
          <w:color w:val="auto"/>
        </w:rPr>
        <w:t>1.</w:t>
      </w:r>
      <w:r>
        <w:rPr>
          <w:rFonts w:ascii="宋体" w:cs="宋体" w:eastAsia="宋体" w:hAnsi="宋体"/>
          <w:sz w:val="32"/>
          <w:szCs w:val="32"/>
          <w:color w:val="auto"/>
        </w:rPr>
        <w:t>强化民商事案件司法保障。围绕调解、取证、鉴定、审判、执行等关键环节，着力提升司法效率。一是进一步深化民事诉讼繁简分流改革试点工作，力争简易程序及小额诉讼程序适用率达到</w:t>
      </w:r>
      <w:r>
        <w:rPr>
          <w:rFonts w:ascii="Calibri" w:cs="Calibri" w:eastAsia="Calibri" w:hAnsi="Calibri"/>
          <w:sz w:val="32"/>
          <w:szCs w:val="32"/>
          <w:color w:val="auto"/>
        </w:rPr>
        <w:t xml:space="preserve"> 80%</w:t>
      </w:r>
      <w:r>
        <w:rPr>
          <w:rFonts w:ascii="宋体" w:cs="宋体" w:eastAsia="宋体" w:hAnsi="宋体"/>
          <w:sz w:val="32"/>
          <w:szCs w:val="32"/>
          <w:color w:val="auto"/>
        </w:rPr>
        <w:t>。二是建立涉外商事多元解决纠纷中心，实现涉外商事案件公证、调解、仲裁</w:t>
      </w:r>
      <w:r>
        <w:rPr>
          <w:rFonts w:ascii="Arial" w:cs="Arial" w:eastAsia="Arial" w:hAnsi="Arial"/>
          <w:sz w:val="32"/>
          <w:szCs w:val="32"/>
          <w:color w:val="auto"/>
        </w:rPr>
        <w:t>“</w:t>
      </w:r>
      <w:r>
        <w:rPr>
          <w:rFonts w:ascii="宋体" w:cs="宋体" w:eastAsia="宋体" w:hAnsi="宋体"/>
          <w:sz w:val="32"/>
          <w:szCs w:val="32"/>
          <w:color w:val="auto"/>
        </w:rPr>
        <w:t>一站式</w:t>
      </w:r>
      <w:r>
        <w:rPr>
          <w:rFonts w:ascii="Arial" w:cs="Arial" w:eastAsia="Arial" w:hAnsi="Arial"/>
          <w:sz w:val="32"/>
          <w:szCs w:val="32"/>
          <w:color w:val="auto"/>
        </w:rPr>
        <w:t>”</w:t>
      </w:r>
      <w:r>
        <w:rPr>
          <w:rFonts w:ascii="宋体" w:cs="宋体" w:eastAsia="宋体" w:hAnsi="宋体"/>
          <w:sz w:val="32"/>
          <w:szCs w:val="32"/>
          <w:color w:val="auto"/>
        </w:rPr>
        <w:t>服务。三是发挥疫情期间建立的</w:t>
      </w:r>
      <w:r>
        <w:rPr>
          <w:rFonts w:ascii="Arial" w:cs="Arial" w:eastAsia="Arial" w:hAnsi="Arial"/>
          <w:sz w:val="32"/>
          <w:szCs w:val="32"/>
          <w:color w:val="auto"/>
        </w:rPr>
        <w:t>“</w:t>
      </w:r>
      <w:r>
        <w:rPr>
          <w:rFonts w:ascii="宋体" w:cs="宋体" w:eastAsia="宋体" w:hAnsi="宋体"/>
          <w:sz w:val="32"/>
          <w:szCs w:val="32"/>
          <w:color w:val="auto"/>
        </w:rPr>
        <w:t>云法庭</w:t>
      </w:r>
      <w:r>
        <w:rPr>
          <w:rFonts w:ascii="Arial" w:cs="Arial" w:eastAsia="Arial" w:hAnsi="Arial"/>
          <w:sz w:val="32"/>
          <w:szCs w:val="32"/>
          <w:color w:val="auto"/>
        </w:rPr>
        <w:t>”</w:t>
      </w:r>
      <w:r>
        <w:rPr>
          <w:rFonts w:ascii="宋体" w:cs="宋体" w:eastAsia="宋体" w:hAnsi="宋体"/>
          <w:sz w:val="32"/>
          <w:szCs w:val="32"/>
          <w:color w:val="auto"/>
        </w:rPr>
        <w:t>作用，鼓励在全市法院推行网上审判。四是支持法院扩大民商事案件二审独任制适用范围，对事实清楚、法律关系明确的案件，二审可由</w:t>
      </w:r>
      <w:r>
        <w:rPr>
          <w:rFonts w:ascii="Calibri" w:cs="Calibri" w:eastAsia="Calibri" w:hAnsi="Calibri"/>
          <w:sz w:val="32"/>
          <w:szCs w:val="32"/>
          <w:color w:val="auto"/>
        </w:rPr>
        <w:t xml:space="preserve"> 1 </w:t>
      </w:r>
      <w:r>
        <w:rPr>
          <w:rFonts w:ascii="宋体" w:cs="宋体" w:eastAsia="宋体" w:hAnsi="宋体"/>
          <w:sz w:val="32"/>
          <w:szCs w:val="32"/>
          <w:color w:val="auto"/>
        </w:rPr>
        <w:t>名法官审理，进一步提升案件审判效率。五是支持法院进一步规范执行行为，严格控制执行工作各环节时间节点，严禁超标查封，最大限度减小执行工作对企业正常运营影响，切实维护企业家合法权益。</w:t>
      </w:r>
    </w:p>
    <w:p>
      <w:pPr>
        <w:spacing w:after="0" w:line="218" w:lineRule="exact"/>
        <w:rPr>
          <w:sz w:val="20"/>
          <w:szCs w:val="20"/>
          <w:color w:val="auto"/>
        </w:rPr>
      </w:pPr>
    </w:p>
    <w:p>
      <w:pPr>
        <w:jc w:val="both"/>
        <w:ind w:left="360" w:right="366" w:firstLine="641"/>
        <w:spacing w:after="0" w:line="508" w:lineRule="exact"/>
        <w:rPr>
          <w:sz w:val="20"/>
          <w:szCs w:val="20"/>
          <w:color w:val="auto"/>
        </w:rPr>
      </w:pPr>
      <w:r>
        <w:rPr>
          <w:rFonts w:ascii="Calibri" w:cs="Calibri" w:eastAsia="Calibri" w:hAnsi="Calibri"/>
          <w:sz w:val="31"/>
          <w:szCs w:val="31"/>
          <w:color w:val="auto"/>
        </w:rPr>
        <w:t>2.</w:t>
      </w:r>
      <w:r>
        <w:rPr>
          <w:rFonts w:ascii="宋体" w:cs="宋体" w:eastAsia="宋体" w:hAnsi="宋体"/>
          <w:sz w:val="31"/>
          <w:szCs w:val="31"/>
          <w:color w:val="auto"/>
        </w:rPr>
        <w:t>建立完善企业破产制度。一是支持法院建立涉众型破产案件提前会商机制，研究建立破产企业职工欠薪保障机制。二是发挥府院联动机制作用，制定关联企业实质合并破产规则，简化破产程序、降低破产企业处置成本。三是出台</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ind w:left="4380"/>
        <w:spacing w:after="0" w:line="308" w:lineRule="exact"/>
        <w:rPr>
          <w:sz w:val="20"/>
          <w:szCs w:val="20"/>
          <w:color w:val="auto"/>
        </w:rPr>
      </w:pPr>
      <w:r>
        <w:rPr>
          <w:rFonts w:ascii="宋体" w:cs="宋体" w:eastAsia="宋体" w:hAnsi="宋体"/>
          <w:sz w:val="27"/>
          <w:szCs w:val="27"/>
          <w:color w:val="auto"/>
        </w:rPr>
        <w:t>- 39 -</w:t>
      </w:r>
    </w:p>
    <w:p>
      <w:pPr>
        <w:sectPr>
          <w:pgSz w:w="11900" w:h="16838" w:orient="portrait"/>
          <w:cols w:equalWidth="0" w:num="1">
            <w:col w:w="9026"/>
          </w:cols>
          <w:pgMar w:left="1440" w:top="1440" w:right="1440" w:bottom="500" w:gutter="0" w:footer="0" w:header="0"/>
          <w:type w:val="continuous"/>
        </w:sectPr>
      </w:pPr>
    </w:p>
    <w:bookmarkStart w:id="41" w:name="page42"/>
    <w:bookmarkEnd w:id="41"/>
    <w:p>
      <w:pPr>
        <w:spacing w:after="0" w:line="177" w:lineRule="exact"/>
        <w:rPr>
          <w:sz w:val="20"/>
          <w:szCs w:val="20"/>
          <w:color w:val="auto"/>
        </w:rPr>
      </w:pPr>
    </w:p>
    <w:p>
      <w:pPr>
        <w:ind w:left="360" w:right="206"/>
        <w:spacing w:after="0" w:line="519" w:lineRule="exact"/>
        <w:rPr>
          <w:sz w:val="20"/>
          <w:szCs w:val="20"/>
          <w:color w:val="auto"/>
        </w:rPr>
      </w:pPr>
      <w:r>
        <w:rPr>
          <w:rFonts w:ascii="宋体" w:cs="宋体" w:eastAsia="宋体" w:hAnsi="宋体"/>
          <w:sz w:val="32"/>
          <w:szCs w:val="32"/>
          <w:color w:val="auto"/>
        </w:rPr>
        <w:t>破产企业不动产处置容缺办理规范，进一步明确规则、标准、程序，提高财产处置效率。四是鼓励法院设立破产管理人考核委员会，出台考核工作规范，建立定期考核机制。在市、区两级政务服务大厅设立破产事项窗口，为破产管理人办理业务提供便利。五是支持法院加强办理破产案件的法官和破产管理人培训，提升办理破产案件的专业化水平。</w:t>
      </w:r>
    </w:p>
    <w:p>
      <w:pPr>
        <w:spacing w:after="0" w:line="214" w:lineRule="exact"/>
        <w:rPr>
          <w:sz w:val="20"/>
          <w:szCs w:val="20"/>
          <w:color w:val="auto"/>
        </w:rPr>
      </w:pPr>
    </w:p>
    <w:p>
      <w:pPr>
        <w:ind w:left="360" w:right="206" w:firstLine="641"/>
        <w:spacing w:after="0" w:line="544" w:lineRule="exact"/>
        <w:rPr>
          <w:sz w:val="20"/>
          <w:szCs w:val="20"/>
          <w:color w:val="auto"/>
        </w:rPr>
      </w:pPr>
      <w:r>
        <w:rPr>
          <w:rFonts w:ascii="Calibri" w:cs="Calibri" w:eastAsia="Calibri" w:hAnsi="Calibri"/>
          <w:sz w:val="32"/>
          <w:szCs w:val="32"/>
          <w:color w:val="auto"/>
        </w:rPr>
        <w:t>3.</w:t>
      </w:r>
      <w:r>
        <w:rPr>
          <w:rFonts w:ascii="宋体" w:cs="宋体" w:eastAsia="宋体" w:hAnsi="宋体"/>
          <w:sz w:val="32"/>
          <w:szCs w:val="32"/>
          <w:color w:val="auto"/>
        </w:rPr>
        <w:t>加强知识产权保护。一是推动研究制订北京市知识产权保护与促进条例，健全职务科技成果赋权、海外维权等各类知识产权保护机制。二是建立知识产权失信主体</w:t>
      </w:r>
      <w:r>
        <w:rPr>
          <w:rFonts w:ascii="Arial" w:cs="Arial" w:eastAsia="Arial" w:hAnsi="Arial"/>
          <w:sz w:val="32"/>
          <w:szCs w:val="32"/>
          <w:color w:val="auto"/>
        </w:rPr>
        <w:t>“</w:t>
      </w:r>
      <w:r>
        <w:rPr>
          <w:rFonts w:ascii="宋体" w:cs="宋体" w:eastAsia="宋体" w:hAnsi="宋体"/>
          <w:sz w:val="32"/>
          <w:szCs w:val="32"/>
          <w:color w:val="auto"/>
        </w:rPr>
        <w:t>黑名单</w:t>
      </w:r>
      <w:r>
        <w:rPr>
          <w:rFonts w:ascii="Arial" w:cs="Arial" w:eastAsia="Arial" w:hAnsi="Arial"/>
          <w:sz w:val="32"/>
          <w:szCs w:val="32"/>
          <w:color w:val="auto"/>
        </w:rPr>
        <w:t>”</w:t>
      </w:r>
      <w:r>
        <w:rPr>
          <w:rFonts w:ascii="宋体" w:cs="宋体" w:eastAsia="宋体" w:hAnsi="宋体"/>
          <w:sz w:val="32"/>
          <w:szCs w:val="32"/>
          <w:color w:val="auto"/>
        </w:rPr>
        <w:t>制度，对重复侵权、故意侵权的企业进行公示，对严重失信主体，在政府采购和招标投标领域进行限制。三是强化市场主体责任，加大对制售假冒伪劣、侵犯知识产权等违法犯罪行为的发现和惩处力度，对直接关系人民群众身体健康和生命安全的领域，加快推出惩罚性赔偿和巨额罚款等制度；制定知识产权案件类型化裁判赔偿规则，参考第三方评估合理确定知识产权损失标准。四是扩大知识产权保护中心服务范围，增加商标、地理标志申请受理，专利侵权行政裁决，仲裁和诉讼远程立案业务，提升知识产权申请、纠纷解决的效率。</w:t>
      </w:r>
    </w:p>
    <w:p>
      <w:pPr>
        <w:spacing w:after="0" w:line="220" w:lineRule="exact"/>
        <w:rPr>
          <w:sz w:val="20"/>
          <w:szCs w:val="20"/>
          <w:color w:val="auto"/>
        </w:rPr>
      </w:pPr>
    </w:p>
    <w:p>
      <w:pPr>
        <w:jc w:val="both"/>
        <w:ind w:left="360" w:right="366" w:firstLine="641"/>
        <w:spacing w:after="0" w:line="517" w:lineRule="exact"/>
        <w:rPr>
          <w:sz w:val="20"/>
          <w:szCs w:val="20"/>
          <w:color w:val="auto"/>
        </w:rPr>
      </w:pPr>
      <w:r>
        <w:rPr>
          <w:rFonts w:ascii="Calibri" w:cs="Calibri" w:eastAsia="Calibri" w:hAnsi="Calibri"/>
          <w:sz w:val="31"/>
          <w:szCs w:val="31"/>
          <w:color w:val="auto"/>
        </w:rPr>
        <w:t>4.</w:t>
      </w:r>
      <w:r>
        <w:rPr>
          <w:rFonts w:ascii="宋体" w:cs="宋体" w:eastAsia="宋体" w:hAnsi="宋体"/>
          <w:sz w:val="31"/>
          <w:szCs w:val="31"/>
          <w:color w:val="auto"/>
        </w:rPr>
        <w:t>提升商事仲裁专业化和国际化水平。一是扩大仲裁领域对外开放，允许境外知名仲裁机构经登记备案，在特定区域设立业务机构，为国际商事、投资等领域发生的争议提供仲裁服务。二是研究出台境外仲裁机构在用房、人员出入境和停（居）留、外汇账户开设等方面便利化举措。三是大力</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ind w:left="4380"/>
        <w:spacing w:after="0" w:line="308" w:lineRule="exact"/>
        <w:rPr>
          <w:sz w:val="20"/>
          <w:szCs w:val="20"/>
          <w:color w:val="auto"/>
        </w:rPr>
      </w:pPr>
      <w:r>
        <w:rPr>
          <w:rFonts w:ascii="宋体" w:cs="宋体" w:eastAsia="宋体" w:hAnsi="宋体"/>
          <w:sz w:val="27"/>
          <w:szCs w:val="27"/>
          <w:color w:val="auto"/>
        </w:rPr>
        <w:t>- 40 -</w:t>
      </w:r>
    </w:p>
    <w:p>
      <w:pPr>
        <w:sectPr>
          <w:pgSz w:w="11900" w:h="16838" w:orient="portrait"/>
          <w:cols w:equalWidth="0" w:num="1">
            <w:col w:w="9026"/>
          </w:cols>
          <w:pgMar w:left="1440" w:top="1440" w:right="1440" w:bottom="500" w:gutter="0" w:footer="0" w:header="0"/>
          <w:type w:val="continuous"/>
        </w:sectPr>
      </w:pPr>
    </w:p>
    <w:bookmarkStart w:id="42" w:name="page43"/>
    <w:bookmarkEnd w:id="42"/>
    <w:p>
      <w:pPr>
        <w:spacing w:after="0" w:line="143" w:lineRule="exact"/>
        <w:rPr>
          <w:sz w:val="20"/>
          <w:szCs w:val="20"/>
          <w:color w:val="auto"/>
        </w:rPr>
      </w:pPr>
    </w:p>
    <w:p>
      <w:pPr>
        <w:ind w:left="360" w:right="366"/>
        <w:spacing w:after="0" w:line="455" w:lineRule="exact"/>
        <w:rPr>
          <w:sz w:val="20"/>
          <w:szCs w:val="20"/>
          <w:color w:val="auto"/>
        </w:rPr>
      </w:pPr>
      <w:r>
        <w:rPr>
          <w:rFonts w:ascii="宋体" w:cs="宋体" w:eastAsia="宋体" w:hAnsi="宋体"/>
          <w:sz w:val="32"/>
          <w:szCs w:val="32"/>
          <w:color w:val="auto"/>
        </w:rPr>
        <w:t>推广</w:t>
      </w:r>
      <w:r>
        <w:rPr>
          <w:rFonts w:ascii="Arial" w:cs="Arial" w:eastAsia="Arial" w:hAnsi="Arial"/>
          <w:sz w:val="32"/>
          <w:szCs w:val="32"/>
          <w:color w:val="auto"/>
        </w:rPr>
        <w:t>“</w:t>
      </w:r>
      <w:r>
        <w:rPr>
          <w:rFonts w:ascii="宋体" w:cs="宋体" w:eastAsia="宋体" w:hAnsi="宋体"/>
          <w:sz w:val="32"/>
          <w:szCs w:val="32"/>
          <w:color w:val="auto"/>
        </w:rPr>
        <w:t>互联网</w:t>
      </w:r>
      <w:r>
        <w:rPr>
          <w:rFonts w:ascii="Calibri" w:cs="Calibri" w:eastAsia="Calibri" w:hAnsi="Calibri"/>
          <w:sz w:val="32"/>
          <w:szCs w:val="32"/>
          <w:color w:val="auto"/>
        </w:rPr>
        <w:t>+</w:t>
      </w:r>
      <w:r>
        <w:rPr>
          <w:rFonts w:ascii="宋体" w:cs="宋体" w:eastAsia="宋体" w:hAnsi="宋体"/>
          <w:sz w:val="32"/>
          <w:szCs w:val="32"/>
          <w:color w:val="auto"/>
        </w:rPr>
        <w:t>仲裁</w:t>
      </w:r>
      <w:r>
        <w:rPr>
          <w:rFonts w:ascii="Arial" w:cs="Arial" w:eastAsia="Arial" w:hAnsi="Arial"/>
          <w:sz w:val="32"/>
          <w:szCs w:val="32"/>
          <w:color w:val="auto"/>
        </w:rPr>
        <w:t>”</w:t>
      </w:r>
      <w:r>
        <w:rPr>
          <w:rFonts w:ascii="宋体" w:cs="宋体" w:eastAsia="宋体" w:hAnsi="宋体"/>
          <w:sz w:val="32"/>
          <w:szCs w:val="32"/>
          <w:color w:val="auto"/>
        </w:rPr>
        <w:t>，完善仲裁办案管理系统，拓展网上开庭、网上送达功能，提高仲裁效率。</w:t>
      </w:r>
    </w:p>
    <w:p>
      <w:pPr>
        <w:spacing w:after="0" w:line="196"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三、组织保障</w:t>
      </w:r>
    </w:p>
    <w:p>
      <w:pPr>
        <w:spacing w:after="0" w:line="245" w:lineRule="exact"/>
        <w:rPr>
          <w:sz w:val="20"/>
          <w:szCs w:val="20"/>
          <w:color w:val="auto"/>
        </w:rPr>
      </w:pPr>
    </w:p>
    <w:p>
      <w:pPr>
        <w:jc w:val="both"/>
        <w:ind w:left="360" w:right="206" w:firstLine="641"/>
        <w:spacing w:after="0" w:line="519" w:lineRule="exact"/>
        <w:rPr>
          <w:sz w:val="20"/>
          <w:szCs w:val="20"/>
          <w:color w:val="auto"/>
        </w:rPr>
      </w:pPr>
      <w:r>
        <w:rPr>
          <w:rFonts w:ascii="宋体" w:cs="宋体" w:eastAsia="宋体" w:hAnsi="宋体"/>
          <w:sz w:val="32"/>
          <w:szCs w:val="32"/>
          <w:color w:val="auto"/>
        </w:rPr>
        <w:t>（一）强化组织领导。完善市区两级优化营商环境工作推进机制，固化本市国家营商环境评价组织机制，形成主管市领导统筹领导、牵头部门和责任部门共同推进的工作格局。各部门要结合各自职责，加强协同配合，一体化推进相关领域改革。要加强营商环境专班建设，配齐配强工作力量，抓好各项改革任务落地。</w:t>
      </w:r>
    </w:p>
    <w:p>
      <w:pPr>
        <w:spacing w:after="0" w:line="248" w:lineRule="exact"/>
        <w:rPr>
          <w:sz w:val="20"/>
          <w:szCs w:val="20"/>
          <w:color w:val="auto"/>
        </w:rPr>
      </w:pPr>
    </w:p>
    <w:p>
      <w:pPr>
        <w:ind w:left="360" w:right="206" w:firstLine="641"/>
        <w:spacing w:after="0" w:line="529" w:lineRule="exact"/>
        <w:rPr>
          <w:sz w:val="20"/>
          <w:szCs w:val="20"/>
          <w:color w:val="auto"/>
        </w:rPr>
      </w:pPr>
      <w:r>
        <w:rPr>
          <w:rFonts w:ascii="宋体" w:cs="宋体" w:eastAsia="宋体" w:hAnsi="宋体"/>
          <w:sz w:val="32"/>
          <w:szCs w:val="32"/>
          <w:color w:val="auto"/>
        </w:rPr>
        <w:t>（二）完善长效机制。建立健全政策评估制度，以政策效果评估为重点，建立重大政策事前、事后评估长效机制。加强营商环境工作考核，通过采取</w:t>
      </w:r>
      <w:r>
        <w:rPr>
          <w:rFonts w:ascii="Arial" w:cs="Arial" w:eastAsia="Arial" w:hAnsi="Arial"/>
          <w:sz w:val="32"/>
          <w:szCs w:val="32"/>
          <w:color w:val="auto"/>
        </w:rPr>
        <w:t>“</w:t>
      </w:r>
      <w:r>
        <w:rPr>
          <w:rFonts w:ascii="宋体" w:cs="宋体" w:eastAsia="宋体" w:hAnsi="宋体"/>
          <w:sz w:val="32"/>
          <w:szCs w:val="32"/>
          <w:color w:val="auto"/>
        </w:rPr>
        <w:t>四不两直</w:t>
      </w:r>
      <w:r>
        <w:rPr>
          <w:rFonts w:ascii="Arial" w:cs="Arial" w:eastAsia="Arial" w:hAnsi="Arial"/>
          <w:sz w:val="32"/>
          <w:szCs w:val="32"/>
          <w:color w:val="auto"/>
        </w:rPr>
        <w:t>”</w:t>
      </w:r>
      <w:r>
        <w:rPr>
          <w:rFonts w:ascii="宋体" w:cs="宋体" w:eastAsia="宋体" w:hAnsi="宋体"/>
          <w:sz w:val="32"/>
          <w:szCs w:val="32"/>
          <w:color w:val="auto"/>
        </w:rPr>
        <w:t>、明察暗访、委托第三方专业机构等多种方式，对各级政务服务大厅进行不定期考核，并将结果纳入绩效管理。建立国家评价、世行评价、区级评价相衔接的一体化评价指标体系，开展分领域营商环境评价。及时总结推广优化营商环境的经验做法，确保改革取得实效。</w:t>
      </w:r>
    </w:p>
    <w:p>
      <w:pPr>
        <w:spacing w:after="0" w:line="252" w:lineRule="exact"/>
        <w:rPr>
          <w:sz w:val="20"/>
          <w:szCs w:val="20"/>
          <w:color w:val="auto"/>
        </w:rPr>
      </w:pPr>
    </w:p>
    <w:p>
      <w:pPr>
        <w:ind w:left="360" w:right="206" w:firstLine="641"/>
        <w:spacing w:after="0" w:line="524" w:lineRule="exact"/>
        <w:rPr>
          <w:sz w:val="20"/>
          <w:szCs w:val="20"/>
          <w:color w:val="auto"/>
        </w:rPr>
      </w:pPr>
      <w:r>
        <w:rPr>
          <w:rFonts w:ascii="宋体" w:cs="宋体" w:eastAsia="宋体" w:hAnsi="宋体"/>
          <w:sz w:val="32"/>
          <w:szCs w:val="32"/>
          <w:color w:val="auto"/>
        </w:rPr>
        <w:t>（三）加强政企沟通。充分发挥专家咨询委员会、社会监督员和政务服务</w:t>
      </w:r>
      <w:r>
        <w:rPr>
          <w:rFonts w:ascii="Arial" w:cs="Arial" w:eastAsia="Arial" w:hAnsi="Arial"/>
          <w:sz w:val="32"/>
          <w:szCs w:val="32"/>
          <w:color w:val="auto"/>
        </w:rPr>
        <w:t>“</w:t>
      </w:r>
      <w:r>
        <w:rPr>
          <w:rFonts w:ascii="宋体" w:cs="宋体" w:eastAsia="宋体" w:hAnsi="宋体"/>
          <w:sz w:val="32"/>
          <w:szCs w:val="32"/>
          <w:color w:val="auto"/>
        </w:rPr>
        <w:t>体验员</w:t>
      </w:r>
      <w:r>
        <w:rPr>
          <w:rFonts w:ascii="Arial" w:cs="Arial" w:eastAsia="Arial" w:hAnsi="Arial"/>
          <w:sz w:val="32"/>
          <w:szCs w:val="32"/>
          <w:color w:val="auto"/>
        </w:rPr>
        <w:t>”</w:t>
      </w:r>
      <w:r>
        <w:rPr>
          <w:rFonts w:ascii="宋体" w:cs="宋体" w:eastAsia="宋体" w:hAnsi="宋体"/>
          <w:sz w:val="32"/>
          <w:szCs w:val="32"/>
          <w:color w:val="auto"/>
        </w:rPr>
        <w:t>作用，建立常态化信息沟通渠道，进一步增强改革的科学性、针对性和有效性。以</w:t>
      </w:r>
      <w:r>
        <w:rPr>
          <w:rFonts w:ascii="Calibri" w:cs="Calibri" w:eastAsia="Calibri" w:hAnsi="Calibri"/>
          <w:sz w:val="32"/>
          <w:szCs w:val="32"/>
          <w:color w:val="auto"/>
        </w:rPr>
        <w:t xml:space="preserve"> 12345 </w:t>
      </w:r>
      <w:r>
        <w:rPr>
          <w:rFonts w:ascii="宋体" w:cs="宋体" w:eastAsia="宋体" w:hAnsi="宋体"/>
          <w:sz w:val="32"/>
          <w:szCs w:val="32"/>
          <w:color w:val="auto"/>
        </w:rPr>
        <w:t>企业服务热线为基础，对企业诉求</w:t>
      </w:r>
      <w:r>
        <w:rPr>
          <w:rFonts w:ascii="Arial" w:cs="Arial" w:eastAsia="Arial" w:hAnsi="Arial"/>
          <w:sz w:val="32"/>
          <w:szCs w:val="32"/>
          <w:color w:val="auto"/>
        </w:rPr>
        <w:t>“</w:t>
      </w:r>
      <w:r>
        <w:rPr>
          <w:rFonts w:ascii="宋体" w:cs="宋体" w:eastAsia="宋体" w:hAnsi="宋体"/>
          <w:sz w:val="32"/>
          <w:szCs w:val="32"/>
          <w:color w:val="auto"/>
        </w:rPr>
        <w:t>接诉即办</w:t>
      </w:r>
      <w:r>
        <w:rPr>
          <w:rFonts w:ascii="Arial" w:cs="Arial" w:eastAsia="Arial" w:hAnsi="Arial"/>
          <w:sz w:val="32"/>
          <w:szCs w:val="32"/>
          <w:color w:val="auto"/>
        </w:rPr>
        <w:t>”</w:t>
      </w:r>
      <w:r>
        <w:rPr>
          <w:rFonts w:ascii="宋体" w:cs="宋体" w:eastAsia="宋体" w:hAnsi="宋体"/>
          <w:sz w:val="32"/>
          <w:szCs w:val="32"/>
          <w:color w:val="auto"/>
        </w:rPr>
        <w:t>，按规定时限协调解决市场主体问题建议，提升服务企业水平。开展</w:t>
      </w:r>
      <w:r>
        <w:rPr>
          <w:rFonts w:ascii="Arial" w:cs="Arial" w:eastAsia="Arial" w:hAnsi="Arial"/>
          <w:sz w:val="32"/>
          <w:szCs w:val="32"/>
          <w:color w:val="auto"/>
        </w:rPr>
        <w:t>“</w:t>
      </w:r>
      <w:r>
        <w:rPr>
          <w:rFonts w:ascii="宋体" w:cs="宋体" w:eastAsia="宋体" w:hAnsi="宋体"/>
          <w:sz w:val="32"/>
          <w:szCs w:val="32"/>
          <w:color w:val="auto"/>
        </w:rPr>
        <w:t>一把手走流程</w:t>
      </w:r>
      <w:r>
        <w:rPr>
          <w:rFonts w:ascii="Arial" w:cs="Arial" w:eastAsia="Arial" w:hAnsi="Arial"/>
          <w:sz w:val="32"/>
          <w:szCs w:val="32"/>
          <w:color w:val="auto"/>
        </w:rPr>
        <w:t>”</w:t>
      </w:r>
      <w:r>
        <w:rPr>
          <w:rFonts w:ascii="宋体" w:cs="宋体" w:eastAsia="宋体" w:hAnsi="宋体"/>
          <w:sz w:val="32"/>
          <w:szCs w:val="32"/>
          <w:color w:val="auto"/>
        </w:rPr>
        <w:t>活动，各区、各部门要进一步查找办事流程中存在的问题，不断改进服务。发挥企业</w:t>
      </w:r>
      <w:r>
        <w:rPr>
          <w:rFonts w:ascii="Arial" w:cs="Arial" w:eastAsia="Arial" w:hAnsi="Arial"/>
          <w:sz w:val="32"/>
          <w:szCs w:val="32"/>
          <w:color w:val="auto"/>
        </w:rPr>
        <w:t>“</w:t>
      </w:r>
      <w:r>
        <w:rPr>
          <w:rFonts w:ascii="宋体" w:cs="宋体" w:eastAsia="宋体" w:hAnsi="宋体"/>
          <w:sz w:val="32"/>
          <w:szCs w:val="32"/>
          <w:color w:val="auto"/>
        </w:rPr>
        <w:t>服务包</w:t>
      </w:r>
      <w:r>
        <w:rPr>
          <w:rFonts w:ascii="Arial" w:cs="Arial" w:eastAsia="Arial" w:hAnsi="Arial"/>
          <w:sz w:val="32"/>
          <w:szCs w:val="32"/>
          <w:color w:val="auto"/>
        </w:rPr>
        <w:t>”</w:t>
      </w:r>
      <w:r>
        <w:rPr>
          <w:rFonts w:ascii="宋体" w:cs="宋体" w:eastAsia="宋体" w:hAnsi="宋体"/>
          <w:sz w:val="32"/>
          <w:szCs w:val="32"/>
          <w:color w:val="auto"/>
        </w:rPr>
        <w:t>机制作用，</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ind w:left="4380"/>
        <w:spacing w:after="0" w:line="308" w:lineRule="exact"/>
        <w:rPr>
          <w:sz w:val="20"/>
          <w:szCs w:val="20"/>
          <w:color w:val="auto"/>
        </w:rPr>
      </w:pPr>
      <w:r>
        <w:rPr>
          <w:rFonts w:ascii="宋体" w:cs="宋体" w:eastAsia="宋体" w:hAnsi="宋体"/>
          <w:sz w:val="27"/>
          <w:szCs w:val="27"/>
          <w:color w:val="auto"/>
        </w:rPr>
        <w:t>- 41 -</w:t>
      </w:r>
    </w:p>
    <w:p>
      <w:pPr>
        <w:sectPr>
          <w:pgSz w:w="11900" w:h="16838" w:orient="portrait"/>
          <w:cols w:equalWidth="0" w:num="1">
            <w:col w:w="9026"/>
          </w:cols>
          <w:pgMar w:left="1440" w:top="1440" w:right="1440" w:bottom="500" w:gutter="0" w:footer="0" w:header="0"/>
          <w:type w:val="continuous"/>
        </w:sectPr>
      </w:pPr>
    </w:p>
    <w:bookmarkStart w:id="43" w:name="page44"/>
    <w:bookmarkEnd w:id="43"/>
    <w:p>
      <w:pPr>
        <w:spacing w:after="0" w:line="12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主动服务、热情服务、靠前服务，构建亲清政商关系。</w:t>
      </w:r>
    </w:p>
    <w:p>
      <w:pPr>
        <w:spacing w:after="0" w:line="242" w:lineRule="exact"/>
        <w:rPr>
          <w:sz w:val="20"/>
          <w:szCs w:val="20"/>
          <w:color w:val="auto"/>
        </w:rPr>
      </w:pPr>
    </w:p>
    <w:p>
      <w:pPr>
        <w:jc w:val="both"/>
        <w:ind w:left="360" w:right="366" w:firstLine="641"/>
        <w:spacing w:after="0" w:line="519" w:lineRule="exact"/>
        <w:rPr>
          <w:sz w:val="20"/>
          <w:szCs w:val="20"/>
          <w:color w:val="auto"/>
        </w:rPr>
      </w:pPr>
      <w:r>
        <w:rPr>
          <w:rFonts w:ascii="宋体" w:cs="宋体" w:eastAsia="宋体" w:hAnsi="宋体"/>
          <w:sz w:val="32"/>
          <w:szCs w:val="32"/>
          <w:color w:val="auto"/>
        </w:rPr>
        <w:t>（四）发挥法治引领和保障作用。落实好《优化营商环境条例》，巩固已有改革成效。以国家营商环境创新试点城市建设为契机，积极向国家有关部门沟通汇报推动相关法律法规调整实施，授权本市开展先行先试，将行之有效并可长期坚持的做法逐步上升为制度规范，以法治手段维护公平竞争环境。</w:t>
      </w:r>
    </w:p>
    <w:p>
      <w:pPr>
        <w:spacing w:after="0" w:line="248" w:lineRule="exact"/>
        <w:rPr>
          <w:sz w:val="20"/>
          <w:szCs w:val="20"/>
          <w:color w:val="auto"/>
        </w:rPr>
      </w:pPr>
    </w:p>
    <w:p>
      <w:pPr>
        <w:jc w:val="both"/>
        <w:ind w:left="360" w:right="366" w:firstLine="641"/>
        <w:spacing w:after="0" w:line="499" w:lineRule="exact"/>
        <w:rPr>
          <w:sz w:val="20"/>
          <w:szCs w:val="20"/>
          <w:color w:val="auto"/>
        </w:rPr>
      </w:pPr>
      <w:r>
        <w:rPr>
          <w:rFonts w:ascii="宋体" w:cs="宋体" w:eastAsia="宋体" w:hAnsi="宋体"/>
          <w:sz w:val="31"/>
          <w:szCs w:val="31"/>
          <w:color w:val="auto"/>
        </w:rPr>
        <w:t>（五）抓好惠企政策兑现。各区、各部门要梳理公布惠企政策清单，根据企业需求精准推送政策，各区出台惠企措施时要及时公布相关负责人及联系方式。大力推行惠企政策</w:t>
      </w:r>
      <w:r>
        <w:rPr>
          <w:rFonts w:ascii="Arial" w:cs="Arial" w:eastAsia="Arial" w:hAnsi="Arial"/>
          <w:sz w:val="31"/>
          <w:szCs w:val="31"/>
          <w:color w:val="auto"/>
        </w:rPr>
        <w:t>“</w:t>
      </w:r>
      <w:r>
        <w:rPr>
          <w:rFonts w:ascii="宋体" w:cs="宋体" w:eastAsia="宋体" w:hAnsi="宋体"/>
          <w:sz w:val="31"/>
          <w:szCs w:val="31"/>
          <w:color w:val="auto"/>
        </w:rPr>
        <w:t>免申即享、线上兑现</w:t>
      </w:r>
      <w:r>
        <w:rPr>
          <w:rFonts w:ascii="Arial" w:cs="Arial" w:eastAsia="Arial" w:hAnsi="Arial"/>
          <w:sz w:val="31"/>
          <w:szCs w:val="31"/>
          <w:color w:val="auto"/>
        </w:rPr>
        <w:t>”</w:t>
      </w:r>
      <w:r>
        <w:rPr>
          <w:rFonts w:ascii="宋体" w:cs="宋体" w:eastAsia="宋体" w:hAnsi="宋体"/>
          <w:sz w:val="31"/>
          <w:szCs w:val="31"/>
          <w:color w:val="auto"/>
        </w:rPr>
        <w:t>，通过政府部门信息共享、大数据</w:t>
      </w:r>
    </w:p>
    <w:p>
      <w:pPr>
        <w:spacing w:after="0" w:line="246" w:lineRule="exact"/>
        <w:rPr>
          <w:sz w:val="20"/>
          <w:szCs w:val="20"/>
          <w:color w:val="auto"/>
        </w:rPr>
      </w:pPr>
    </w:p>
    <w:p>
      <w:pPr>
        <w:ind w:left="360" w:right="206"/>
        <w:spacing w:after="0" w:line="519" w:lineRule="exact"/>
        <w:rPr>
          <w:sz w:val="20"/>
          <w:szCs w:val="20"/>
          <w:color w:val="auto"/>
        </w:rPr>
      </w:pPr>
      <w:r>
        <w:rPr>
          <w:rFonts w:ascii="宋体" w:cs="宋体" w:eastAsia="宋体" w:hAnsi="宋体"/>
          <w:sz w:val="32"/>
          <w:szCs w:val="32"/>
          <w:color w:val="auto"/>
        </w:rPr>
        <w:t>应用等方式，实现符合条件的企业免予申报、直接享受政策。对于政府专项资金补贴、重点项目支持等确需企业申请的惠企政策，要合理设置并公开申请条件，简化申报材料、办事流程，邀请行业协会商会等机构围绕惠企政策申请流程、操作指南等开展政策解读，加快实现</w:t>
      </w:r>
      <w:r>
        <w:rPr>
          <w:rFonts w:ascii="Arial" w:cs="Arial" w:eastAsia="Arial" w:hAnsi="Arial"/>
          <w:sz w:val="32"/>
          <w:szCs w:val="32"/>
          <w:color w:val="auto"/>
        </w:rPr>
        <w:t>“</w:t>
      </w:r>
      <w:r>
        <w:rPr>
          <w:rFonts w:ascii="宋体" w:cs="宋体" w:eastAsia="宋体" w:hAnsi="宋体"/>
          <w:sz w:val="32"/>
          <w:szCs w:val="32"/>
          <w:color w:val="auto"/>
        </w:rPr>
        <w:t>一次申报、全程网办、快速兑现</w:t>
      </w:r>
      <w:r>
        <w:rPr>
          <w:rFonts w:ascii="Arial" w:cs="Arial" w:eastAsia="Arial" w:hAnsi="Arial"/>
          <w:sz w:val="32"/>
          <w:szCs w:val="32"/>
          <w:color w:val="auto"/>
        </w:rPr>
        <w:t>”</w:t>
      </w:r>
      <w:r>
        <w:rPr>
          <w:rFonts w:ascii="宋体" w:cs="宋体" w:eastAsia="宋体" w:hAnsi="宋体"/>
          <w:sz w:val="32"/>
          <w:szCs w:val="32"/>
          <w:color w:val="auto"/>
        </w:rPr>
        <w:t>。</w:t>
      </w:r>
    </w:p>
    <w:p>
      <w:pPr>
        <w:spacing w:after="0" w:line="249" w:lineRule="exact"/>
        <w:rPr>
          <w:sz w:val="20"/>
          <w:szCs w:val="20"/>
          <w:color w:val="auto"/>
        </w:rPr>
      </w:pPr>
    </w:p>
    <w:p>
      <w:pPr>
        <w:jc w:val="both"/>
        <w:ind w:left="360" w:right="366" w:firstLine="641"/>
        <w:spacing w:after="0" w:line="512" w:lineRule="exact"/>
        <w:rPr>
          <w:sz w:val="20"/>
          <w:szCs w:val="20"/>
          <w:color w:val="auto"/>
        </w:rPr>
      </w:pPr>
      <w:r>
        <w:rPr>
          <w:rFonts w:ascii="宋体" w:cs="宋体" w:eastAsia="宋体" w:hAnsi="宋体"/>
          <w:sz w:val="32"/>
          <w:szCs w:val="32"/>
          <w:color w:val="auto"/>
        </w:rPr>
        <w:t>（六）广泛开展宣传培训。各区、各部门要主动发布和解读改革政策，及时总结宣传改革做法和经验，为企业、群众查询和掌握政策创造便利；要进一步加强政务服务大厅建设，广泛开展</w:t>
      </w:r>
      <w:r>
        <w:rPr>
          <w:rFonts w:ascii="Arial" w:cs="Arial" w:eastAsia="Arial" w:hAnsi="Arial"/>
          <w:sz w:val="32"/>
          <w:szCs w:val="32"/>
          <w:color w:val="auto"/>
        </w:rPr>
        <w:t>“</w:t>
      </w:r>
      <w:r>
        <w:rPr>
          <w:rFonts w:ascii="宋体" w:cs="宋体" w:eastAsia="宋体" w:hAnsi="宋体"/>
          <w:sz w:val="32"/>
          <w:szCs w:val="32"/>
          <w:color w:val="auto"/>
        </w:rPr>
        <w:t>小小窗口，满满服务</w:t>
      </w:r>
      <w:r>
        <w:rPr>
          <w:rFonts w:ascii="Arial" w:cs="Arial" w:eastAsia="Arial" w:hAnsi="Arial"/>
          <w:sz w:val="32"/>
          <w:szCs w:val="32"/>
          <w:color w:val="auto"/>
        </w:rPr>
        <w:t>”</w:t>
      </w:r>
      <w:r>
        <w:rPr>
          <w:rFonts w:ascii="宋体" w:cs="宋体" w:eastAsia="宋体" w:hAnsi="宋体"/>
          <w:sz w:val="32"/>
          <w:szCs w:val="32"/>
          <w:color w:val="auto"/>
        </w:rPr>
        <w:t>专项行动，不断提高一线工作人员的服务意识和业务水平。</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ind w:left="4380"/>
        <w:spacing w:after="0" w:line="308" w:lineRule="exact"/>
        <w:rPr>
          <w:sz w:val="20"/>
          <w:szCs w:val="20"/>
          <w:color w:val="auto"/>
        </w:rPr>
      </w:pPr>
      <w:r>
        <w:rPr>
          <w:rFonts w:ascii="宋体" w:cs="宋体" w:eastAsia="宋体" w:hAnsi="宋体"/>
          <w:sz w:val="27"/>
          <w:szCs w:val="27"/>
          <w:color w:val="auto"/>
        </w:rPr>
        <w:t>- 42 -</w:t>
      </w:r>
    </w:p>
    <w:p>
      <w:pPr>
        <w:sectPr>
          <w:pgSz w:w="11900" w:h="16838" w:orient="portrait"/>
          <w:cols w:equalWidth="0" w:num="1">
            <w:col w:w="9026"/>
          </w:cols>
          <w:pgMar w:left="1440" w:top="1440" w:right="1440" w:bottom="500" w:gutter="0" w:footer="0" w:header="0"/>
          <w:type w:val="continuous"/>
        </w:sectPr>
      </w:pPr>
    </w:p>
    <w:bookmarkStart w:id="44" w:name="page45"/>
    <w:bookmarkEnd w:id="44"/>
    <w:p>
      <w:pPr>
        <w:spacing w:after="0" w:line="162" w:lineRule="exact"/>
        <w:rPr>
          <w:sz w:val="20"/>
          <w:szCs w:val="20"/>
          <w:color w:val="auto"/>
        </w:rPr>
      </w:pPr>
    </w:p>
    <w:p>
      <w:pPr>
        <w:ind w:left="2100"/>
        <w:spacing w:after="0" w:line="502" w:lineRule="exact"/>
        <w:rPr>
          <w:sz w:val="20"/>
          <w:szCs w:val="20"/>
          <w:color w:val="auto"/>
        </w:rPr>
      </w:pPr>
      <w:r>
        <w:rPr>
          <w:rFonts w:ascii="宋体" w:cs="宋体" w:eastAsia="宋体" w:hAnsi="宋体"/>
          <w:sz w:val="44"/>
          <w:szCs w:val="44"/>
          <w:color w:val="auto"/>
        </w:rPr>
        <w:t>北京市公共信用信息管理办法</w:t>
      </w:r>
    </w:p>
    <w:p>
      <w:pPr>
        <w:spacing w:after="0" w:line="200" w:lineRule="exact"/>
        <w:rPr>
          <w:sz w:val="20"/>
          <w:szCs w:val="20"/>
          <w:color w:val="auto"/>
        </w:rPr>
      </w:pPr>
    </w:p>
    <w:p>
      <w:pPr>
        <w:spacing w:after="0" w:line="343" w:lineRule="exact"/>
        <w:rPr>
          <w:sz w:val="20"/>
          <w:szCs w:val="20"/>
          <w:color w:val="auto"/>
        </w:rPr>
      </w:pPr>
    </w:p>
    <w:p>
      <w:pPr>
        <w:jc w:val="both"/>
        <w:ind w:left="360" w:right="206" w:firstLine="641"/>
        <w:spacing w:after="0" w:line="498" w:lineRule="exact"/>
        <w:rPr>
          <w:sz w:val="20"/>
          <w:szCs w:val="20"/>
          <w:color w:val="auto"/>
        </w:rPr>
      </w:pPr>
      <w:r>
        <w:rPr>
          <w:rFonts w:ascii="宋体" w:cs="宋体" w:eastAsia="宋体" w:hAnsi="宋体"/>
          <w:sz w:val="32"/>
          <w:szCs w:val="32"/>
          <w:color w:val="auto"/>
        </w:rPr>
        <w:t>第一条 为规范行政机关归集、公布和使用公共信用信息，实现公共信用信息资源共享，推进社会信用体系建设，根据国务院《社会信用体系建设规划纲要（</w:t>
      </w:r>
      <w:r>
        <w:rPr>
          <w:rFonts w:ascii="Calibri" w:cs="Calibri" w:eastAsia="Calibri" w:hAnsi="Calibri"/>
          <w:sz w:val="32"/>
          <w:szCs w:val="32"/>
          <w:color w:val="auto"/>
        </w:rPr>
        <w:t xml:space="preserve">2014-2020 </w:t>
      </w:r>
      <w:r>
        <w:rPr>
          <w:rFonts w:ascii="宋体" w:cs="宋体" w:eastAsia="宋体" w:hAnsi="宋体"/>
          <w:sz w:val="32"/>
          <w:szCs w:val="32"/>
          <w:color w:val="auto"/>
        </w:rPr>
        <w:t>年）》等规定，结合本市实际情况，制定本办法。</w:t>
      </w:r>
    </w:p>
    <w:p>
      <w:pPr>
        <w:spacing w:after="0" w:line="247" w:lineRule="exact"/>
        <w:rPr>
          <w:sz w:val="20"/>
          <w:szCs w:val="20"/>
          <w:color w:val="auto"/>
        </w:rPr>
      </w:pPr>
    </w:p>
    <w:p>
      <w:pPr>
        <w:jc w:val="both"/>
        <w:ind w:left="360" w:right="366" w:firstLine="641"/>
        <w:spacing w:after="0" w:line="437" w:lineRule="exact"/>
        <w:rPr>
          <w:sz w:val="20"/>
          <w:szCs w:val="20"/>
          <w:color w:val="auto"/>
        </w:rPr>
      </w:pPr>
      <w:r>
        <w:rPr>
          <w:rFonts w:ascii="宋体" w:cs="宋体" w:eastAsia="宋体" w:hAnsi="宋体"/>
          <w:sz w:val="32"/>
          <w:szCs w:val="32"/>
          <w:color w:val="auto"/>
        </w:rPr>
        <w:t>第二条 本市各级行政机关公共信用信息的归集、公布和使用及其相关管理和服务等活动，适用本办法。</w:t>
      </w:r>
    </w:p>
    <w:p>
      <w:pPr>
        <w:spacing w:after="0" w:line="248" w:lineRule="exact"/>
        <w:rPr>
          <w:sz w:val="20"/>
          <w:szCs w:val="20"/>
          <w:color w:val="auto"/>
        </w:rPr>
      </w:pPr>
    </w:p>
    <w:p>
      <w:pPr>
        <w:jc w:val="both"/>
        <w:ind w:left="360" w:right="366" w:firstLine="641"/>
        <w:spacing w:after="0" w:line="520" w:lineRule="exact"/>
        <w:rPr>
          <w:sz w:val="20"/>
          <w:szCs w:val="20"/>
          <w:color w:val="auto"/>
        </w:rPr>
      </w:pPr>
      <w:r>
        <w:rPr>
          <w:rFonts w:ascii="宋体" w:cs="宋体" w:eastAsia="宋体" w:hAnsi="宋体"/>
          <w:sz w:val="32"/>
          <w:szCs w:val="32"/>
          <w:color w:val="auto"/>
        </w:rPr>
        <w:t>本办法所称公共信用信息，是指行政机关以及法律、法规授权的具有管理公共事务职能的组织（以下统称行政机关），在依法履行职责过程中形成或者掌握的，能够反映法人和非法人组织（以下统称单位）以及</w:t>
      </w:r>
      <w:r>
        <w:rPr>
          <w:rFonts w:ascii="Calibri" w:cs="Calibri" w:eastAsia="Calibri" w:hAnsi="Calibri"/>
          <w:sz w:val="32"/>
          <w:szCs w:val="32"/>
          <w:color w:val="auto"/>
        </w:rPr>
        <w:t xml:space="preserve"> 18 </w:t>
      </w:r>
      <w:r>
        <w:rPr>
          <w:rFonts w:ascii="宋体" w:cs="宋体" w:eastAsia="宋体" w:hAnsi="宋体"/>
          <w:sz w:val="32"/>
          <w:szCs w:val="32"/>
          <w:color w:val="auto"/>
        </w:rPr>
        <w:t>周岁以上的自然人（以下简称自然人）信用状况的数据和资料，包括基本信息、良好信息和不良信息。</w:t>
      </w:r>
    </w:p>
    <w:p>
      <w:pPr>
        <w:spacing w:after="0" w:line="246" w:lineRule="exact"/>
        <w:rPr>
          <w:sz w:val="20"/>
          <w:szCs w:val="20"/>
          <w:color w:val="auto"/>
        </w:rPr>
      </w:pPr>
    </w:p>
    <w:p>
      <w:pPr>
        <w:jc w:val="both"/>
        <w:ind w:left="360" w:right="366" w:firstLine="641"/>
        <w:spacing w:after="0" w:line="499" w:lineRule="exact"/>
        <w:rPr>
          <w:sz w:val="20"/>
          <w:szCs w:val="20"/>
          <w:color w:val="auto"/>
        </w:rPr>
      </w:pPr>
      <w:r>
        <w:rPr>
          <w:rFonts w:ascii="宋体" w:cs="宋体" w:eastAsia="宋体" w:hAnsi="宋体"/>
          <w:sz w:val="32"/>
          <w:szCs w:val="32"/>
          <w:color w:val="auto"/>
        </w:rPr>
        <w:t>第三条 行政机关归集、公布和使用公共信用信息，应当遵循合法、客观、准确、必要和安全的原则，依法保护单位和自然人的合法权益，不得公开法律、法规规定不予公开的信息。</w:t>
      </w:r>
    </w:p>
    <w:p>
      <w:pPr>
        <w:spacing w:after="0" w:line="244" w:lineRule="exact"/>
        <w:rPr>
          <w:sz w:val="20"/>
          <w:szCs w:val="20"/>
          <w:color w:val="auto"/>
        </w:rPr>
      </w:pPr>
    </w:p>
    <w:p>
      <w:pPr>
        <w:jc w:val="both"/>
        <w:ind w:left="360" w:right="366" w:firstLine="641"/>
        <w:spacing w:after="0" w:line="499" w:lineRule="exact"/>
        <w:rPr>
          <w:sz w:val="20"/>
          <w:szCs w:val="20"/>
          <w:color w:val="auto"/>
        </w:rPr>
      </w:pPr>
      <w:r>
        <w:rPr>
          <w:rFonts w:ascii="宋体" w:cs="宋体" w:eastAsia="宋体" w:hAnsi="宋体"/>
          <w:sz w:val="32"/>
          <w:szCs w:val="32"/>
          <w:color w:val="auto"/>
        </w:rPr>
        <w:t>第四条 市和区人民政府应当加强对公共信用信息工作的领导，建立健全工作协调机制，统筹推进公共信用信息的归集、公布和使用工作，将所需经费纳入财政预算，并对公共信用信息工作情况进行监督考核。</w:t>
      </w:r>
    </w:p>
    <w:p>
      <w:pPr>
        <w:spacing w:after="0" w:line="244" w:lineRule="exact"/>
        <w:rPr>
          <w:sz w:val="20"/>
          <w:szCs w:val="20"/>
          <w:color w:val="auto"/>
        </w:rPr>
      </w:pPr>
    </w:p>
    <w:p>
      <w:pPr>
        <w:jc w:val="both"/>
        <w:ind w:left="360" w:right="366" w:firstLine="641"/>
        <w:spacing w:after="0" w:line="440" w:lineRule="exact"/>
        <w:rPr>
          <w:sz w:val="20"/>
          <w:szCs w:val="20"/>
          <w:color w:val="auto"/>
        </w:rPr>
      </w:pPr>
      <w:r>
        <w:rPr>
          <w:rFonts w:ascii="宋体" w:cs="宋体" w:eastAsia="宋体" w:hAnsi="宋体"/>
          <w:sz w:val="31"/>
          <w:szCs w:val="31"/>
          <w:color w:val="auto"/>
        </w:rPr>
        <w:t>第五条 市经济信息化部门负责组织、协调、指导和监督全市公共信用信息归集、公布和使用工作；区人民政府确</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ind w:left="4380"/>
        <w:spacing w:after="0" w:line="308" w:lineRule="exact"/>
        <w:rPr>
          <w:sz w:val="20"/>
          <w:szCs w:val="20"/>
          <w:color w:val="auto"/>
        </w:rPr>
      </w:pPr>
      <w:r>
        <w:rPr>
          <w:rFonts w:ascii="宋体" w:cs="宋体" w:eastAsia="宋体" w:hAnsi="宋体"/>
          <w:sz w:val="27"/>
          <w:szCs w:val="27"/>
          <w:color w:val="auto"/>
        </w:rPr>
        <w:t>- 43 -</w:t>
      </w:r>
    </w:p>
    <w:p>
      <w:pPr>
        <w:sectPr>
          <w:pgSz w:w="11900" w:h="16838" w:orient="portrait"/>
          <w:cols w:equalWidth="0" w:num="1">
            <w:col w:w="9026"/>
          </w:cols>
          <w:pgMar w:left="1440" w:top="1440" w:right="1440" w:bottom="500" w:gutter="0" w:footer="0" w:header="0"/>
          <w:type w:val="continuous"/>
        </w:sectPr>
      </w:pPr>
    </w:p>
    <w:bookmarkStart w:id="45" w:name="page46"/>
    <w:bookmarkEnd w:id="45"/>
    <w:p>
      <w:pPr>
        <w:spacing w:after="0" w:line="177" w:lineRule="exact"/>
        <w:rPr>
          <w:sz w:val="20"/>
          <w:szCs w:val="20"/>
          <w:color w:val="auto"/>
        </w:rPr>
      </w:pPr>
    </w:p>
    <w:p>
      <w:pPr>
        <w:jc w:val="both"/>
        <w:ind w:left="360" w:right="366"/>
        <w:spacing w:after="0" w:line="512" w:lineRule="exact"/>
        <w:rPr>
          <w:sz w:val="20"/>
          <w:szCs w:val="20"/>
          <w:color w:val="auto"/>
        </w:rPr>
      </w:pPr>
      <w:r>
        <w:rPr>
          <w:rFonts w:ascii="宋体" w:cs="宋体" w:eastAsia="宋体" w:hAnsi="宋体"/>
          <w:sz w:val="32"/>
          <w:szCs w:val="32"/>
          <w:color w:val="auto"/>
        </w:rPr>
        <w:t>定的工作部门负责组织、协调、指导和监督本行政区域内的公共信用信息归集、公布和使用工作。市工商行政、机构编制、民政部门分别建立健全本市企业信用信息系统、事业单位信用信息系统、社会组织信用信息系统，为公共信用信息共享提供便利条件。</w:t>
      </w:r>
    </w:p>
    <w:p>
      <w:pPr>
        <w:spacing w:after="0" w:line="243" w:lineRule="exact"/>
        <w:rPr>
          <w:sz w:val="20"/>
          <w:szCs w:val="20"/>
          <w:color w:val="auto"/>
        </w:rPr>
      </w:pPr>
    </w:p>
    <w:p>
      <w:pPr>
        <w:jc w:val="both"/>
        <w:ind w:left="360" w:right="366" w:firstLine="641"/>
        <w:spacing w:after="0" w:line="438" w:lineRule="exact"/>
        <w:rPr>
          <w:sz w:val="20"/>
          <w:szCs w:val="20"/>
          <w:color w:val="auto"/>
        </w:rPr>
      </w:pPr>
      <w:r>
        <w:rPr>
          <w:rFonts w:ascii="宋体" w:cs="宋体" w:eastAsia="宋体" w:hAnsi="宋体"/>
          <w:sz w:val="32"/>
          <w:szCs w:val="32"/>
          <w:color w:val="auto"/>
        </w:rPr>
        <w:t>有关行政机关按照各自职责和本办法的规定，配合做好公共信用信息归集、公布和使用工作。</w:t>
      </w:r>
    </w:p>
    <w:p>
      <w:pPr>
        <w:spacing w:after="0" w:line="197"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第六条 单位的基本信息包括下列内容：</w:t>
      </w:r>
    </w:p>
    <w:p>
      <w:pPr>
        <w:spacing w:after="0" w:line="242" w:lineRule="exact"/>
        <w:rPr>
          <w:sz w:val="20"/>
          <w:szCs w:val="20"/>
          <w:color w:val="auto"/>
        </w:rPr>
      </w:pPr>
    </w:p>
    <w:p>
      <w:pPr>
        <w:jc w:val="both"/>
        <w:ind w:left="360" w:right="366" w:firstLine="641"/>
        <w:spacing w:after="0" w:line="438" w:lineRule="exact"/>
        <w:rPr>
          <w:sz w:val="20"/>
          <w:szCs w:val="20"/>
          <w:color w:val="auto"/>
        </w:rPr>
      </w:pPr>
      <w:r>
        <w:rPr>
          <w:rFonts w:ascii="宋体" w:cs="宋体" w:eastAsia="宋体" w:hAnsi="宋体"/>
          <w:sz w:val="32"/>
          <w:szCs w:val="32"/>
          <w:color w:val="auto"/>
        </w:rPr>
        <w:t>（一）名称、法定代表人或者负责人、统一社会信用代码等登记注册信息；</w:t>
      </w:r>
    </w:p>
    <w:p>
      <w:pPr>
        <w:spacing w:after="0" w:line="197"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（二）取得的资格、资质等行政许可信息；</w:t>
      </w:r>
    </w:p>
    <w:p>
      <w:pPr>
        <w:spacing w:after="0" w:line="194"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（三）知识产权信息；</w:t>
      </w:r>
    </w:p>
    <w:p>
      <w:pPr>
        <w:spacing w:after="0" w:line="197"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（四）产品、服务、管理体系的认证认可信息；</w:t>
      </w:r>
    </w:p>
    <w:p>
      <w:pPr>
        <w:spacing w:after="0" w:line="194"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（五）其他反映单位基本情况的信息。</w:t>
      </w:r>
    </w:p>
    <w:p>
      <w:pPr>
        <w:spacing w:after="0" w:line="194"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第七条 自然人的基本信息包括下列内容：</w:t>
      </w:r>
    </w:p>
    <w:p>
      <w:pPr>
        <w:spacing w:after="0" w:line="197"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（一）姓名、身份证号码等信息；</w:t>
      </w:r>
    </w:p>
    <w:p>
      <w:pPr>
        <w:spacing w:after="0" w:line="194"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（二）学历、学位等信息；</w:t>
      </w:r>
    </w:p>
    <w:p>
      <w:pPr>
        <w:spacing w:after="0" w:line="194"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（三）就业状况、职称、资格等信息。</w:t>
      </w:r>
    </w:p>
    <w:p>
      <w:pPr>
        <w:spacing w:after="0" w:line="245" w:lineRule="exact"/>
        <w:rPr>
          <w:sz w:val="20"/>
          <w:szCs w:val="20"/>
          <w:color w:val="auto"/>
        </w:rPr>
      </w:pPr>
    </w:p>
    <w:p>
      <w:pPr>
        <w:jc w:val="both"/>
        <w:ind w:left="360" w:right="366" w:firstLine="641"/>
        <w:spacing w:after="0" w:line="478" w:lineRule="exact"/>
        <w:rPr>
          <w:sz w:val="20"/>
          <w:szCs w:val="20"/>
          <w:color w:val="auto"/>
        </w:rPr>
      </w:pPr>
      <w:r>
        <w:rPr>
          <w:rFonts w:ascii="宋体" w:cs="宋体" w:eastAsia="宋体" w:hAnsi="宋体"/>
          <w:sz w:val="32"/>
          <w:szCs w:val="32"/>
          <w:color w:val="auto"/>
        </w:rPr>
        <w:t>第八条 禁止归集自然人的宗教信仰、基因、指纹、血型、疾病和病史信息，以及法律、法规禁止采集的其他自然人信息。</w:t>
      </w:r>
    </w:p>
    <w:p>
      <w:pPr>
        <w:spacing w:after="0" w:line="19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第九条 单位和自然人的良好信息包括下列内容：</w:t>
      </w:r>
    </w:p>
    <w:p>
      <w:pPr>
        <w:spacing w:after="0" w:line="194"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（一）各级人民政府及其部门授予的表彰信息；</w:t>
      </w:r>
    </w:p>
    <w:p>
      <w:pPr>
        <w:spacing w:after="0" w:line="194"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（二）各级人民政府及其部门给予的奖励信息；</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ind w:left="4380"/>
        <w:spacing w:after="0" w:line="308" w:lineRule="exact"/>
        <w:rPr>
          <w:sz w:val="20"/>
          <w:szCs w:val="20"/>
          <w:color w:val="auto"/>
        </w:rPr>
      </w:pPr>
      <w:r>
        <w:rPr>
          <w:rFonts w:ascii="宋体" w:cs="宋体" w:eastAsia="宋体" w:hAnsi="宋体"/>
          <w:sz w:val="27"/>
          <w:szCs w:val="27"/>
          <w:color w:val="auto"/>
        </w:rPr>
        <w:t>- 44 -</w:t>
      </w:r>
    </w:p>
    <w:p>
      <w:pPr>
        <w:sectPr>
          <w:pgSz w:w="11900" w:h="16838" w:orient="portrait"/>
          <w:cols w:equalWidth="0" w:num="1">
            <w:col w:w="9026"/>
          </w:cols>
          <w:pgMar w:left="1440" w:top="1440" w:right="1440" w:bottom="500" w:gutter="0" w:footer="0" w:header="0"/>
          <w:type w:val="continuous"/>
        </w:sectPr>
      </w:pPr>
    </w:p>
    <w:bookmarkStart w:id="46" w:name="page47"/>
    <w:bookmarkEnd w:id="46"/>
    <w:p>
      <w:pPr>
        <w:spacing w:after="0" w:line="12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（三）参与各级人民政府及其部门组织的慈善活动信</w:t>
      </w:r>
    </w:p>
    <w:p>
      <w:pPr>
        <w:spacing w:after="0" w:line="194"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息；</w:t>
      </w:r>
    </w:p>
    <w:p>
      <w:pPr>
        <w:spacing w:after="0" w:line="194"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（四）国家规定的其他良好信息。</w:t>
      </w:r>
    </w:p>
    <w:p>
      <w:pPr>
        <w:spacing w:after="0" w:line="197"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第十条 单位的不良信息包括下列内容：</w:t>
      </w:r>
    </w:p>
    <w:p>
      <w:pPr>
        <w:spacing w:after="0" w:line="194"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（一）向行政机关提供虚假材料的信息；</w:t>
      </w:r>
    </w:p>
    <w:p>
      <w:pPr>
        <w:spacing w:after="0" w:line="194"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（二）违反向行政机关作出的书面承诺信息；</w:t>
      </w:r>
    </w:p>
    <w:p>
      <w:pPr>
        <w:spacing w:after="0" w:line="245" w:lineRule="exact"/>
        <w:rPr>
          <w:sz w:val="20"/>
          <w:szCs w:val="20"/>
          <w:color w:val="auto"/>
        </w:rPr>
      </w:pPr>
    </w:p>
    <w:p>
      <w:pPr>
        <w:jc w:val="both"/>
        <w:ind w:left="360" w:right="366" w:firstLine="641"/>
        <w:spacing w:after="0" w:line="437" w:lineRule="exact"/>
        <w:rPr>
          <w:sz w:val="20"/>
          <w:szCs w:val="20"/>
          <w:color w:val="auto"/>
        </w:rPr>
      </w:pPr>
      <w:r>
        <w:rPr>
          <w:rFonts w:ascii="宋体" w:cs="宋体" w:eastAsia="宋体" w:hAnsi="宋体"/>
          <w:sz w:val="32"/>
          <w:szCs w:val="32"/>
          <w:color w:val="auto"/>
        </w:rPr>
        <w:t>（三）行政机关适用一般程序作出的行政处罚、行政强制信息；</w:t>
      </w:r>
    </w:p>
    <w:p>
      <w:pPr>
        <w:spacing w:after="0" w:line="245" w:lineRule="exact"/>
        <w:rPr>
          <w:sz w:val="20"/>
          <w:szCs w:val="20"/>
          <w:color w:val="auto"/>
        </w:rPr>
      </w:pPr>
    </w:p>
    <w:p>
      <w:pPr>
        <w:jc w:val="both"/>
        <w:ind w:left="360" w:right="366" w:firstLine="641"/>
        <w:spacing w:after="0" w:line="438" w:lineRule="exact"/>
        <w:rPr>
          <w:sz w:val="20"/>
          <w:szCs w:val="20"/>
          <w:color w:val="auto"/>
        </w:rPr>
      </w:pPr>
      <w:r>
        <w:rPr>
          <w:rFonts w:ascii="宋体" w:cs="宋体" w:eastAsia="宋体" w:hAnsi="宋体"/>
          <w:sz w:val="32"/>
          <w:szCs w:val="32"/>
          <w:color w:val="auto"/>
        </w:rPr>
        <w:t>（四）发生安全生产、食品安全、环境污染、产品质量等责任事故被行政机</w:t>
      </w:r>
    </w:p>
    <w:p>
      <w:pPr>
        <w:spacing w:after="0" w:line="197"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关处理的信息；</w:t>
      </w:r>
    </w:p>
    <w:p>
      <w:pPr>
        <w:spacing w:after="0" w:line="194"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（五）国家规定的其他不良信息。</w:t>
      </w:r>
    </w:p>
    <w:p>
      <w:pPr>
        <w:spacing w:after="0" w:line="197"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第十一条 自然人的不良信息包括下列内容：</w:t>
      </w:r>
    </w:p>
    <w:p>
      <w:pPr>
        <w:spacing w:after="0" w:line="194"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（一）向行政机关提供虚假材料的信息；</w:t>
      </w:r>
    </w:p>
    <w:p>
      <w:pPr>
        <w:spacing w:after="0" w:line="194"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（二）违反向行政机关作出的书面承诺信息；</w:t>
      </w:r>
    </w:p>
    <w:p>
      <w:pPr>
        <w:spacing w:after="0" w:line="245" w:lineRule="exact"/>
        <w:rPr>
          <w:sz w:val="20"/>
          <w:szCs w:val="20"/>
          <w:color w:val="auto"/>
        </w:rPr>
      </w:pPr>
    </w:p>
    <w:p>
      <w:pPr>
        <w:jc w:val="both"/>
        <w:ind w:left="360" w:right="366" w:firstLine="641"/>
        <w:spacing w:after="0" w:line="437" w:lineRule="exact"/>
        <w:rPr>
          <w:sz w:val="20"/>
          <w:szCs w:val="20"/>
          <w:color w:val="auto"/>
        </w:rPr>
      </w:pPr>
      <w:r>
        <w:rPr>
          <w:rFonts w:ascii="宋体" w:cs="宋体" w:eastAsia="宋体" w:hAnsi="宋体"/>
          <w:sz w:val="32"/>
          <w:szCs w:val="32"/>
          <w:color w:val="auto"/>
        </w:rPr>
        <w:t>（三）行政机关适用一般程序作出的行政处罚、行政强制信息；</w:t>
      </w:r>
    </w:p>
    <w:p>
      <w:pPr>
        <w:spacing w:after="0" w:line="197"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（四）国家规定的其他不良信息。</w:t>
      </w:r>
    </w:p>
    <w:p>
      <w:pPr>
        <w:spacing w:after="0" w:line="245" w:lineRule="exact"/>
        <w:rPr>
          <w:sz w:val="20"/>
          <w:szCs w:val="20"/>
          <w:color w:val="auto"/>
        </w:rPr>
      </w:pPr>
    </w:p>
    <w:p>
      <w:pPr>
        <w:jc w:val="both"/>
        <w:ind w:left="360" w:right="366" w:firstLine="641"/>
        <w:spacing w:after="0" w:line="437" w:lineRule="exact"/>
        <w:rPr>
          <w:sz w:val="20"/>
          <w:szCs w:val="20"/>
          <w:color w:val="auto"/>
        </w:rPr>
      </w:pPr>
      <w:r>
        <w:rPr>
          <w:rFonts w:ascii="宋体" w:cs="宋体" w:eastAsia="宋体" w:hAnsi="宋体"/>
          <w:sz w:val="32"/>
          <w:szCs w:val="32"/>
          <w:color w:val="auto"/>
        </w:rPr>
        <w:t>第十二条 市经济信息化部门与有关行政机关，按照本办法规定的公共信用</w:t>
      </w:r>
    </w:p>
    <w:p>
      <w:pPr>
        <w:spacing w:after="0" w:line="245" w:lineRule="exact"/>
        <w:rPr>
          <w:sz w:val="20"/>
          <w:szCs w:val="20"/>
          <w:color w:val="auto"/>
        </w:rPr>
      </w:pPr>
    </w:p>
    <w:p>
      <w:pPr>
        <w:jc w:val="both"/>
        <w:ind w:left="360" w:right="366" w:firstLine="641"/>
        <w:spacing w:after="0" w:line="480" w:lineRule="exact"/>
        <w:rPr>
          <w:sz w:val="20"/>
          <w:szCs w:val="20"/>
          <w:color w:val="auto"/>
        </w:rPr>
      </w:pPr>
      <w:r>
        <w:rPr>
          <w:rFonts w:ascii="宋体" w:cs="宋体" w:eastAsia="宋体" w:hAnsi="宋体"/>
          <w:sz w:val="32"/>
          <w:szCs w:val="32"/>
          <w:color w:val="auto"/>
        </w:rPr>
        <w:t>信息范围，协商确定公共信用信息的归集内容、归集标准、归集方式和公开属性等事项，编制全市公共信用信息目录，向社会公布。</w:t>
      </w:r>
    </w:p>
    <w:p>
      <w:pPr>
        <w:spacing w:after="0" w:line="195"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第十三条 行政机关应当自公共信用信息形成之日起</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ind w:left="4380"/>
        <w:spacing w:after="0" w:line="308" w:lineRule="exact"/>
        <w:rPr>
          <w:sz w:val="20"/>
          <w:szCs w:val="20"/>
          <w:color w:val="auto"/>
        </w:rPr>
      </w:pPr>
      <w:r>
        <w:rPr>
          <w:rFonts w:ascii="宋体" w:cs="宋体" w:eastAsia="宋体" w:hAnsi="宋体"/>
          <w:sz w:val="27"/>
          <w:szCs w:val="27"/>
          <w:color w:val="auto"/>
        </w:rPr>
        <w:t>- 45 -</w:t>
      </w:r>
    </w:p>
    <w:p>
      <w:pPr>
        <w:sectPr>
          <w:pgSz w:w="11900" w:h="16838" w:orient="portrait"/>
          <w:cols w:equalWidth="0" w:num="1">
            <w:col w:w="9026"/>
          </w:cols>
          <w:pgMar w:left="1440" w:top="1440" w:right="1440" w:bottom="500" w:gutter="0" w:footer="0" w:header="0"/>
          <w:type w:val="continuous"/>
        </w:sectPr>
      </w:pPr>
    </w:p>
    <w:bookmarkStart w:id="47" w:name="page48"/>
    <w:bookmarkEnd w:id="47"/>
    <w:p>
      <w:pPr>
        <w:spacing w:after="0" w:line="88" w:lineRule="exact"/>
        <w:rPr>
          <w:sz w:val="20"/>
          <w:szCs w:val="20"/>
          <w:color w:val="auto"/>
        </w:rPr>
      </w:pPr>
    </w:p>
    <w:p>
      <w:pPr>
        <w:ind w:left="840" w:hanging="480"/>
        <w:spacing w:after="0" w:line="406" w:lineRule="exact"/>
        <w:tabs>
          <w:tab w:leader="none" w:pos="840" w:val="left"/>
        </w:tabs>
        <w:numPr>
          <w:ilvl w:val="0"/>
          <w:numId w:val="2"/>
        </w:numPr>
        <w:rPr>
          <w:rFonts w:ascii="Calibri" w:cs="Calibri" w:eastAsia="Calibri" w:hAnsi="Calibri"/>
          <w:sz w:val="32"/>
          <w:szCs w:val="32"/>
          <w:color w:val="auto"/>
        </w:rPr>
      </w:pPr>
      <w:r>
        <w:rPr>
          <w:rFonts w:ascii="宋体" w:cs="宋体" w:eastAsia="宋体" w:hAnsi="宋体"/>
          <w:sz w:val="32"/>
          <w:szCs w:val="32"/>
          <w:color w:val="auto"/>
        </w:rPr>
        <w:t>个工作日内，按照下列规定提供信息：</w:t>
      </w:r>
    </w:p>
    <w:p>
      <w:pPr>
        <w:spacing w:after="0" w:line="242" w:lineRule="exact"/>
        <w:rPr>
          <w:sz w:val="20"/>
          <w:szCs w:val="20"/>
          <w:color w:val="auto"/>
        </w:rPr>
      </w:pPr>
    </w:p>
    <w:p>
      <w:pPr>
        <w:ind w:left="360" w:right="206" w:firstLine="641"/>
        <w:spacing w:after="0" w:line="480" w:lineRule="exact"/>
        <w:rPr>
          <w:sz w:val="20"/>
          <w:szCs w:val="20"/>
          <w:color w:val="auto"/>
        </w:rPr>
      </w:pPr>
      <w:r>
        <w:rPr>
          <w:rFonts w:ascii="宋体" w:cs="宋体" w:eastAsia="宋体" w:hAnsi="宋体"/>
          <w:sz w:val="32"/>
          <w:szCs w:val="32"/>
          <w:color w:val="auto"/>
        </w:rPr>
        <w:t>（一）单位的公共信用信息，依托本市建立的企业信用信息系统、事业单位信用信息系统、社会组织信用信息系统，分别向市工商行政、机构编制、民政部门提供；</w:t>
      </w:r>
    </w:p>
    <w:p>
      <w:pPr>
        <w:spacing w:after="0" w:line="195"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（二）自然人的公共信用信息，向市经济信息化部门提</w:t>
      </w:r>
    </w:p>
    <w:p>
      <w:pPr>
        <w:spacing w:after="0" w:line="194"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供。</w:t>
      </w:r>
    </w:p>
    <w:p>
      <w:pPr>
        <w:spacing w:after="0" w:line="245" w:lineRule="exact"/>
        <w:rPr>
          <w:sz w:val="20"/>
          <w:szCs w:val="20"/>
          <w:color w:val="auto"/>
        </w:rPr>
      </w:pPr>
    </w:p>
    <w:p>
      <w:pPr>
        <w:jc w:val="both"/>
        <w:ind w:left="360" w:right="366" w:firstLine="641"/>
        <w:spacing w:after="0" w:line="478" w:lineRule="exact"/>
        <w:rPr>
          <w:sz w:val="20"/>
          <w:szCs w:val="20"/>
          <w:color w:val="auto"/>
        </w:rPr>
      </w:pPr>
      <w:r>
        <w:rPr>
          <w:rFonts w:ascii="宋体" w:cs="宋体" w:eastAsia="宋体" w:hAnsi="宋体"/>
          <w:sz w:val="32"/>
          <w:szCs w:val="32"/>
          <w:color w:val="auto"/>
        </w:rPr>
        <w:t>第十四条 行政机关提供的公共信用信息，应当以具备法律效力的文书或者其他有效证明文件为依据，并准确和完整。发现不准确或者不完整的，应当及时予以更正。</w:t>
      </w:r>
    </w:p>
    <w:p>
      <w:pPr>
        <w:spacing w:after="0" w:line="247" w:lineRule="exact"/>
        <w:rPr>
          <w:sz w:val="20"/>
          <w:szCs w:val="20"/>
          <w:color w:val="auto"/>
        </w:rPr>
      </w:pPr>
    </w:p>
    <w:p>
      <w:pPr>
        <w:jc w:val="both"/>
        <w:ind w:left="360" w:right="346" w:firstLine="641"/>
        <w:spacing w:after="0" w:line="499" w:lineRule="exact"/>
        <w:rPr>
          <w:sz w:val="20"/>
          <w:szCs w:val="20"/>
          <w:color w:val="auto"/>
        </w:rPr>
      </w:pPr>
      <w:r>
        <w:rPr>
          <w:rFonts w:ascii="宋体" w:cs="宋体" w:eastAsia="宋体" w:hAnsi="宋体"/>
          <w:sz w:val="32"/>
          <w:szCs w:val="32"/>
          <w:color w:val="auto"/>
        </w:rPr>
        <w:t>第十五条 行政机关应当明确本单位负责公共信用信息工作的部门或者机构，建立完善本单位公共信用信息系统，做好公共信用信息的收集、整理、保存等工作，并对公共信用信息数据实行动态管理。</w:t>
      </w:r>
    </w:p>
    <w:p>
      <w:pPr>
        <w:spacing w:after="0" w:line="244" w:lineRule="exact"/>
        <w:rPr>
          <w:sz w:val="20"/>
          <w:szCs w:val="20"/>
          <w:color w:val="auto"/>
        </w:rPr>
      </w:pPr>
    </w:p>
    <w:p>
      <w:pPr>
        <w:jc w:val="both"/>
        <w:ind w:left="360" w:right="346" w:firstLine="641"/>
        <w:spacing w:after="0" w:line="499" w:lineRule="exact"/>
        <w:rPr>
          <w:sz w:val="20"/>
          <w:szCs w:val="20"/>
          <w:color w:val="auto"/>
        </w:rPr>
      </w:pPr>
      <w:r>
        <w:rPr>
          <w:rFonts w:ascii="宋体" w:cs="宋体" w:eastAsia="宋体" w:hAnsi="宋体"/>
          <w:sz w:val="32"/>
          <w:szCs w:val="32"/>
          <w:color w:val="auto"/>
        </w:rPr>
        <w:t>第十六条 行政机关应当建立健全公共信用信息安全管理制度，采取必要的技术措施，确保公共信用信息的安全；对发生公共信用信息严重泄露等情况的，应当及时处理，并向市经济信息化部门报告。</w:t>
      </w:r>
    </w:p>
    <w:p>
      <w:pPr>
        <w:spacing w:after="0" w:line="244" w:lineRule="exact"/>
        <w:rPr>
          <w:sz w:val="20"/>
          <w:szCs w:val="20"/>
          <w:color w:val="auto"/>
        </w:rPr>
      </w:pPr>
    </w:p>
    <w:p>
      <w:pPr>
        <w:jc w:val="both"/>
        <w:ind w:left="360" w:right="346" w:firstLine="641"/>
        <w:spacing w:after="0" w:line="499" w:lineRule="exact"/>
        <w:rPr>
          <w:sz w:val="20"/>
          <w:szCs w:val="20"/>
          <w:color w:val="auto"/>
        </w:rPr>
      </w:pPr>
      <w:r>
        <w:rPr>
          <w:rFonts w:ascii="宋体" w:cs="宋体" w:eastAsia="宋体" w:hAnsi="宋体"/>
          <w:sz w:val="32"/>
          <w:szCs w:val="32"/>
          <w:color w:val="auto"/>
        </w:rPr>
        <w:t>第十七条 市安全监管、食品药品监管、质监、环保、住建等部门应当建立健全市场主体准入前的信用承诺制度，向社会公开。行政机关应当对单位和自然人违反信用承诺制度的信息进行记载。</w:t>
      </w:r>
    </w:p>
    <w:p>
      <w:pPr>
        <w:spacing w:after="0" w:line="246" w:lineRule="exact"/>
        <w:rPr>
          <w:sz w:val="20"/>
          <w:szCs w:val="20"/>
          <w:color w:val="auto"/>
        </w:rPr>
      </w:pPr>
    </w:p>
    <w:p>
      <w:pPr>
        <w:jc w:val="both"/>
        <w:ind w:left="360" w:right="366" w:firstLine="641"/>
        <w:spacing w:after="0" w:line="478" w:lineRule="exact"/>
        <w:rPr>
          <w:sz w:val="20"/>
          <w:szCs w:val="20"/>
          <w:color w:val="auto"/>
        </w:rPr>
      </w:pPr>
      <w:r>
        <w:rPr>
          <w:rFonts w:ascii="宋体" w:cs="宋体" w:eastAsia="宋体" w:hAnsi="宋体"/>
          <w:sz w:val="31"/>
          <w:szCs w:val="31"/>
          <w:color w:val="auto"/>
        </w:rPr>
        <w:t>第十八条 本市建立统一的公共信用信息服务平台，为行政机关和社会公众提供查询服务，实现单位和自然人公共信用信息的共享。公共信用信息服务平台建设、运行、维护</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ind w:left="4380"/>
        <w:spacing w:after="0" w:line="308" w:lineRule="exact"/>
        <w:rPr>
          <w:sz w:val="20"/>
          <w:szCs w:val="20"/>
          <w:color w:val="auto"/>
        </w:rPr>
      </w:pPr>
      <w:r>
        <w:rPr>
          <w:rFonts w:ascii="宋体" w:cs="宋体" w:eastAsia="宋体" w:hAnsi="宋体"/>
          <w:sz w:val="27"/>
          <w:szCs w:val="27"/>
          <w:color w:val="auto"/>
        </w:rPr>
        <w:t>- 46 -</w:t>
      </w:r>
    </w:p>
    <w:p>
      <w:pPr>
        <w:sectPr>
          <w:pgSz w:w="11900" w:h="16838" w:orient="portrait"/>
          <w:cols w:equalWidth="0" w:num="1">
            <w:col w:w="9026"/>
          </w:cols>
          <w:pgMar w:left="1440" w:top="1440" w:right="1440" w:bottom="500" w:gutter="0" w:footer="0" w:header="0"/>
          <w:type w:val="continuous"/>
        </w:sectPr>
      </w:pPr>
    </w:p>
    <w:bookmarkStart w:id="48" w:name="page49"/>
    <w:bookmarkEnd w:id="48"/>
    <w:p>
      <w:pPr>
        <w:spacing w:after="0" w:line="12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和管理的具体办法，由市经济信息化部门制定。</w:t>
      </w:r>
    </w:p>
    <w:p>
      <w:pPr>
        <w:spacing w:after="0" w:line="242" w:lineRule="exact"/>
        <w:rPr>
          <w:sz w:val="20"/>
          <w:szCs w:val="20"/>
          <w:color w:val="auto"/>
        </w:rPr>
      </w:pPr>
    </w:p>
    <w:p>
      <w:pPr>
        <w:jc w:val="both"/>
        <w:ind w:left="360" w:right="366" w:firstLine="641"/>
        <w:spacing w:after="0" w:line="499" w:lineRule="exact"/>
        <w:rPr>
          <w:sz w:val="20"/>
          <w:szCs w:val="20"/>
          <w:color w:val="auto"/>
        </w:rPr>
      </w:pPr>
      <w:r>
        <w:rPr>
          <w:rFonts w:ascii="宋体" w:cs="宋体" w:eastAsia="宋体" w:hAnsi="宋体"/>
          <w:sz w:val="32"/>
          <w:szCs w:val="32"/>
          <w:color w:val="auto"/>
        </w:rPr>
        <w:t>第十九条 市工商行政、机构编制、民政部门按照职责分工将归集的单位公共信用信息，共享到公共信用信息服务平台。市经济信息化部门负责将归集的自然人公共信用信息，共享到公共信用信息服务平台。</w:t>
      </w:r>
    </w:p>
    <w:p>
      <w:pPr>
        <w:spacing w:after="0" w:line="244" w:lineRule="exact"/>
        <w:rPr>
          <w:sz w:val="20"/>
          <w:szCs w:val="20"/>
          <w:color w:val="auto"/>
        </w:rPr>
      </w:pPr>
    </w:p>
    <w:p>
      <w:pPr>
        <w:jc w:val="both"/>
        <w:ind w:left="360" w:right="346" w:firstLine="641"/>
        <w:spacing w:after="0" w:line="525" w:lineRule="exact"/>
        <w:rPr>
          <w:sz w:val="20"/>
          <w:szCs w:val="20"/>
          <w:color w:val="auto"/>
        </w:rPr>
      </w:pPr>
      <w:r>
        <w:rPr>
          <w:rFonts w:ascii="宋体" w:cs="宋体" w:eastAsia="宋体" w:hAnsi="宋体"/>
          <w:sz w:val="32"/>
          <w:szCs w:val="32"/>
          <w:color w:val="auto"/>
        </w:rPr>
        <w:t>第二十条 属于依法应当主动公开的公共信用信息，单位和自然人可以通过公共信用信息服务平台查询。主动公开以外的其他公共信用信息，单位或者自然人可以查询自身信息；查询他人信息的，应当经被查询人书面同意，但法律、法规另有规定的除外。市经济信息化部门制定并发布公共信用信息服务平台查询服务规范，向社会提供便捷的查询服务。</w:t>
      </w:r>
    </w:p>
    <w:p>
      <w:pPr>
        <w:spacing w:after="0" w:line="249" w:lineRule="exact"/>
        <w:rPr>
          <w:sz w:val="20"/>
          <w:szCs w:val="20"/>
          <w:color w:val="auto"/>
        </w:rPr>
      </w:pPr>
    </w:p>
    <w:p>
      <w:pPr>
        <w:jc w:val="both"/>
        <w:ind w:left="360" w:right="346" w:firstLine="641"/>
        <w:spacing w:after="0" w:line="499" w:lineRule="exact"/>
        <w:rPr>
          <w:sz w:val="20"/>
          <w:szCs w:val="20"/>
          <w:color w:val="auto"/>
        </w:rPr>
      </w:pPr>
      <w:r>
        <w:rPr>
          <w:rFonts w:ascii="宋体" w:cs="宋体" w:eastAsia="宋体" w:hAnsi="宋体"/>
          <w:sz w:val="32"/>
          <w:szCs w:val="32"/>
          <w:color w:val="auto"/>
        </w:rPr>
        <w:t>第二十一条 行政机关及其工作人员不得以不正当手段归集公共信用信息，不得虚构、篡改或者违规删除公共信用信息，不得违规披露或者泄露公共信用信息；非履职需要，不得查询公共信用信息。</w:t>
      </w:r>
    </w:p>
    <w:p>
      <w:pPr>
        <w:spacing w:after="0" w:line="244" w:lineRule="exact"/>
        <w:rPr>
          <w:sz w:val="20"/>
          <w:szCs w:val="20"/>
          <w:color w:val="auto"/>
        </w:rPr>
      </w:pPr>
    </w:p>
    <w:p>
      <w:pPr>
        <w:jc w:val="both"/>
        <w:ind w:left="360" w:right="366" w:firstLine="641"/>
        <w:spacing w:after="0" w:line="499" w:lineRule="exact"/>
        <w:rPr>
          <w:sz w:val="20"/>
          <w:szCs w:val="20"/>
          <w:color w:val="auto"/>
        </w:rPr>
      </w:pPr>
      <w:r>
        <w:rPr>
          <w:rFonts w:ascii="宋体" w:cs="宋体" w:eastAsia="宋体" w:hAnsi="宋体"/>
          <w:sz w:val="32"/>
          <w:szCs w:val="32"/>
          <w:color w:val="auto"/>
        </w:rPr>
        <w:t>第二十二条 单位和自然人认为公共信用信息服务平台记载的本单位或者本人的公共信用信息与事实不符或者依法不应当公开的，可以向市经济信息化部门书面提出异议申请，并提供相关证明材料。</w:t>
      </w:r>
    </w:p>
    <w:p>
      <w:pPr>
        <w:spacing w:after="0" w:line="244" w:lineRule="exact"/>
        <w:rPr>
          <w:sz w:val="20"/>
          <w:szCs w:val="20"/>
          <w:color w:val="auto"/>
        </w:rPr>
      </w:pPr>
    </w:p>
    <w:p>
      <w:pPr>
        <w:jc w:val="both"/>
        <w:ind w:left="360" w:right="366" w:firstLine="641"/>
        <w:spacing w:after="0" w:line="498" w:lineRule="exact"/>
        <w:rPr>
          <w:sz w:val="20"/>
          <w:szCs w:val="20"/>
          <w:color w:val="auto"/>
        </w:rPr>
      </w:pPr>
      <w:r>
        <w:rPr>
          <w:rFonts w:ascii="宋体" w:cs="宋体" w:eastAsia="宋体" w:hAnsi="宋体"/>
          <w:sz w:val="31"/>
          <w:szCs w:val="31"/>
          <w:color w:val="auto"/>
        </w:rPr>
        <w:t>第二十三条 市经济信息化部门应当自收到异议申请之日起</w:t>
      </w:r>
      <w:r>
        <w:rPr>
          <w:rFonts w:ascii="Calibri" w:cs="Calibri" w:eastAsia="Calibri" w:hAnsi="Calibri"/>
          <w:sz w:val="31"/>
          <w:szCs w:val="31"/>
          <w:color w:val="auto"/>
        </w:rPr>
        <w:t xml:space="preserve"> 7 </w:t>
      </w:r>
      <w:r>
        <w:rPr>
          <w:rFonts w:ascii="宋体" w:cs="宋体" w:eastAsia="宋体" w:hAnsi="宋体"/>
          <w:sz w:val="31"/>
          <w:szCs w:val="31"/>
          <w:color w:val="auto"/>
        </w:rPr>
        <w:t>个工作日内会同有关行政机关进行核查，并作出处理。经核查属实的，应当及时予以更正，并将更正结果书面告知申请人；经核查不属实的，应当将核查结果书面告知申</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ind w:left="4380"/>
        <w:spacing w:after="0" w:line="308" w:lineRule="exact"/>
        <w:rPr>
          <w:sz w:val="20"/>
          <w:szCs w:val="20"/>
          <w:color w:val="auto"/>
        </w:rPr>
      </w:pPr>
      <w:r>
        <w:rPr>
          <w:rFonts w:ascii="宋体" w:cs="宋体" w:eastAsia="宋体" w:hAnsi="宋体"/>
          <w:sz w:val="27"/>
          <w:szCs w:val="27"/>
          <w:color w:val="auto"/>
        </w:rPr>
        <w:t>- 47 -</w:t>
      </w:r>
    </w:p>
    <w:p>
      <w:pPr>
        <w:sectPr>
          <w:pgSz w:w="11900" w:h="16838" w:orient="portrait"/>
          <w:cols w:equalWidth="0" w:num="1">
            <w:col w:w="9026"/>
          </w:cols>
          <w:pgMar w:left="1440" w:top="1440" w:right="1440" w:bottom="500" w:gutter="0" w:footer="0" w:header="0"/>
          <w:type w:val="continuous"/>
        </w:sectPr>
      </w:pPr>
    </w:p>
    <w:bookmarkStart w:id="49" w:name="page50"/>
    <w:bookmarkEnd w:id="49"/>
    <w:p>
      <w:pPr>
        <w:spacing w:after="0" w:line="12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请人。</w:t>
      </w:r>
    </w:p>
    <w:p>
      <w:pPr>
        <w:spacing w:after="0" w:line="242" w:lineRule="exact"/>
        <w:rPr>
          <w:sz w:val="20"/>
          <w:szCs w:val="20"/>
          <w:color w:val="auto"/>
        </w:rPr>
      </w:pPr>
    </w:p>
    <w:p>
      <w:pPr>
        <w:jc w:val="both"/>
        <w:ind w:left="360" w:right="346" w:firstLine="641"/>
        <w:spacing w:after="0" w:line="512" w:lineRule="exact"/>
        <w:rPr>
          <w:sz w:val="20"/>
          <w:szCs w:val="20"/>
          <w:color w:val="auto"/>
        </w:rPr>
      </w:pPr>
      <w:r>
        <w:rPr>
          <w:rFonts w:ascii="宋体" w:cs="宋体" w:eastAsia="宋体" w:hAnsi="宋体"/>
          <w:sz w:val="32"/>
          <w:szCs w:val="32"/>
          <w:color w:val="auto"/>
        </w:rPr>
        <w:t>第二十四条 行政机关在市场监管、行政审批、政府采购、招标投标、政策扶持、国有土地出让、科研项目申报、人员招录、职称评定和表彰奖励等工作中，应当将单位或者自然人的公共信用信息作为行政决策的重要依据，但法律、法规另有规定的除外。</w:t>
      </w:r>
    </w:p>
    <w:p>
      <w:pPr>
        <w:spacing w:after="0" w:line="246" w:lineRule="exact"/>
        <w:rPr>
          <w:sz w:val="20"/>
          <w:szCs w:val="20"/>
          <w:color w:val="auto"/>
        </w:rPr>
      </w:pPr>
    </w:p>
    <w:p>
      <w:pPr>
        <w:jc w:val="both"/>
        <w:ind w:left="360" w:right="366" w:firstLine="641"/>
        <w:spacing w:after="0" w:line="499" w:lineRule="exact"/>
        <w:rPr>
          <w:sz w:val="20"/>
          <w:szCs w:val="20"/>
          <w:color w:val="auto"/>
        </w:rPr>
      </w:pPr>
      <w:r>
        <w:rPr>
          <w:rFonts w:ascii="宋体" w:cs="宋体" w:eastAsia="宋体" w:hAnsi="宋体"/>
          <w:sz w:val="32"/>
          <w:szCs w:val="32"/>
          <w:color w:val="auto"/>
        </w:rPr>
        <w:t>第二十五条 市级行政机关应当按照职责权限和管理实际，制定本系统或者本行业的信用状况评价标准，并根据公共信用信息服务平台中记录的信息，对单位和自然人的信用状况作出良好或者不良等评价。</w:t>
      </w:r>
    </w:p>
    <w:p>
      <w:pPr>
        <w:spacing w:after="0" w:line="244" w:lineRule="exact"/>
        <w:rPr>
          <w:sz w:val="20"/>
          <w:szCs w:val="20"/>
          <w:color w:val="auto"/>
        </w:rPr>
      </w:pPr>
    </w:p>
    <w:p>
      <w:pPr>
        <w:jc w:val="both"/>
        <w:ind w:left="360" w:right="366" w:firstLine="641"/>
        <w:spacing w:after="0" w:line="437" w:lineRule="exact"/>
        <w:rPr>
          <w:sz w:val="20"/>
          <w:szCs w:val="20"/>
          <w:color w:val="auto"/>
        </w:rPr>
      </w:pPr>
      <w:r>
        <w:rPr>
          <w:rFonts w:ascii="宋体" w:cs="宋体" w:eastAsia="宋体" w:hAnsi="宋体"/>
          <w:sz w:val="32"/>
          <w:szCs w:val="32"/>
          <w:color w:val="auto"/>
        </w:rPr>
        <w:t>第二十六条 对信用状况良好的单位和自然人，在其他条件相同的情况下，行政机关可以依法采取下列措施：</w:t>
      </w:r>
    </w:p>
    <w:p>
      <w:pPr>
        <w:spacing w:after="0" w:line="248" w:lineRule="exact"/>
        <w:rPr>
          <w:sz w:val="20"/>
          <w:szCs w:val="20"/>
          <w:color w:val="auto"/>
        </w:rPr>
      </w:pPr>
    </w:p>
    <w:p>
      <w:pPr>
        <w:jc w:val="both"/>
        <w:ind w:left="360" w:right="346" w:firstLine="641"/>
        <w:spacing w:after="0" w:line="437" w:lineRule="exact"/>
        <w:rPr>
          <w:sz w:val="20"/>
          <w:szCs w:val="20"/>
          <w:color w:val="auto"/>
        </w:rPr>
      </w:pPr>
      <w:r>
        <w:rPr>
          <w:rFonts w:ascii="宋体" w:cs="宋体" w:eastAsia="宋体" w:hAnsi="宋体"/>
          <w:sz w:val="32"/>
          <w:szCs w:val="32"/>
          <w:color w:val="auto"/>
        </w:rPr>
        <w:t>（一）在办理行政许可和公共服务过程中，简化程序、优先办理；</w:t>
      </w:r>
    </w:p>
    <w:p>
      <w:pPr>
        <w:spacing w:after="0" w:line="197"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w w:val="99"/>
        </w:rPr>
        <w:t>（二）在安排日常检查和专项检查中，减少检查频次；</w:t>
      </w:r>
    </w:p>
    <w:p>
      <w:pPr>
        <w:spacing w:after="0" w:line="245" w:lineRule="exact"/>
        <w:rPr>
          <w:sz w:val="20"/>
          <w:szCs w:val="20"/>
          <w:color w:val="auto"/>
        </w:rPr>
      </w:pPr>
    </w:p>
    <w:p>
      <w:pPr>
        <w:jc w:val="both"/>
        <w:ind w:left="360" w:right="366" w:firstLine="641"/>
        <w:spacing w:after="0" w:line="437" w:lineRule="exact"/>
        <w:rPr>
          <w:sz w:val="20"/>
          <w:szCs w:val="20"/>
          <w:color w:val="auto"/>
        </w:rPr>
      </w:pPr>
      <w:r>
        <w:rPr>
          <w:rFonts w:ascii="宋体" w:cs="宋体" w:eastAsia="宋体" w:hAnsi="宋体"/>
          <w:sz w:val="32"/>
          <w:szCs w:val="32"/>
          <w:color w:val="auto"/>
        </w:rPr>
        <w:t>（三）在安排财政性资金项目以及实施各类政府优惠政策中，优先考虑和扶持；</w:t>
      </w:r>
    </w:p>
    <w:p>
      <w:pPr>
        <w:spacing w:after="0" w:line="209" w:lineRule="exact"/>
        <w:rPr>
          <w:sz w:val="20"/>
          <w:szCs w:val="20"/>
          <w:color w:val="auto"/>
        </w:rPr>
      </w:pPr>
    </w:p>
    <w:p>
      <w:pPr>
        <w:ind w:left="1000"/>
        <w:spacing w:after="0" w:line="354" w:lineRule="exact"/>
        <w:rPr>
          <w:sz w:val="20"/>
          <w:szCs w:val="20"/>
          <w:color w:val="auto"/>
        </w:rPr>
      </w:pPr>
      <w:r>
        <w:rPr>
          <w:rFonts w:ascii="宋体" w:cs="宋体" w:eastAsia="宋体" w:hAnsi="宋体"/>
          <w:sz w:val="31"/>
          <w:szCs w:val="31"/>
          <w:color w:val="auto"/>
        </w:rPr>
        <w:t>（四）在各类公共资源交易活动中，依法依约予以加分；</w:t>
      </w:r>
    </w:p>
    <w:p>
      <w:pPr>
        <w:spacing w:after="0" w:line="197"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（五）在就业、创业等领域，优先考虑和支持；</w:t>
      </w:r>
    </w:p>
    <w:p>
      <w:pPr>
        <w:spacing w:after="0" w:line="194"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（六）国家规定的其他激励性措施。</w:t>
      </w:r>
    </w:p>
    <w:p>
      <w:pPr>
        <w:spacing w:after="0" w:line="242" w:lineRule="exact"/>
        <w:rPr>
          <w:sz w:val="20"/>
          <w:szCs w:val="20"/>
          <w:color w:val="auto"/>
        </w:rPr>
      </w:pPr>
    </w:p>
    <w:p>
      <w:pPr>
        <w:jc w:val="both"/>
        <w:ind w:left="360" w:right="366" w:firstLine="641"/>
        <w:spacing w:after="0" w:line="439" w:lineRule="exact"/>
        <w:rPr>
          <w:sz w:val="20"/>
          <w:szCs w:val="20"/>
          <w:color w:val="auto"/>
        </w:rPr>
      </w:pPr>
      <w:r>
        <w:rPr>
          <w:rFonts w:ascii="宋体" w:cs="宋体" w:eastAsia="宋体" w:hAnsi="宋体"/>
          <w:sz w:val="32"/>
          <w:szCs w:val="32"/>
          <w:color w:val="auto"/>
        </w:rPr>
        <w:t>第二十七条 对信用状况不良的单位和自然人，行政机关可以依法采取下列措施：</w:t>
      </w:r>
    </w:p>
    <w:p>
      <w:pPr>
        <w:spacing w:after="0" w:line="197"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（一）在办理行政许可过程中，重点予以核查；</w:t>
      </w:r>
    </w:p>
    <w:p>
      <w:pPr>
        <w:spacing w:after="0" w:line="194"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w w:val="99"/>
        </w:rPr>
        <w:t>（二）在安排日常检查和专项检查中，增加检查频次；</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ind w:left="4380"/>
        <w:spacing w:after="0" w:line="308" w:lineRule="exact"/>
        <w:rPr>
          <w:sz w:val="20"/>
          <w:szCs w:val="20"/>
          <w:color w:val="auto"/>
        </w:rPr>
      </w:pPr>
      <w:r>
        <w:rPr>
          <w:rFonts w:ascii="宋体" w:cs="宋体" w:eastAsia="宋体" w:hAnsi="宋体"/>
          <w:sz w:val="27"/>
          <w:szCs w:val="27"/>
          <w:color w:val="auto"/>
        </w:rPr>
        <w:t>- 48 -</w:t>
      </w:r>
    </w:p>
    <w:p>
      <w:pPr>
        <w:sectPr>
          <w:pgSz w:w="11900" w:h="16838" w:orient="portrait"/>
          <w:cols w:equalWidth="0" w:num="1">
            <w:col w:w="9026"/>
          </w:cols>
          <w:pgMar w:left="1440" w:top="1440" w:right="1440" w:bottom="500" w:gutter="0" w:footer="0" w:header="0"/>
          <w:type w:val="continuous"/>
        </w:sectPr>
      </w:pPr>
    </w:p>
    <w:bookmarkStart w:id="50" w:name="page51"/>
    <w:bookmarkEnd w:id="50"/>
    <w:p>
      <w:pPr>
        <w:spacing w:after="0" w:line="12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（三）限制申请政府补贴资金支持；</w:t>
      </w:r>
    </w:p>
    <w:p>
      <w:pPr>
        <w:spacing w:after="0" w:line="242" w:lineRule="exact"/>
        <w:rPr>
          <w:sz w:val="20"/>
          <w:szCs w:val="20"/>
          <w:color w:val="auto"/>
        </w:rPr>
      </w:pPr>
    </w:p>
    <w:p>
      <w:pPr>
        <w:jc w:val="both"/>
        <w:ind w:left="360" w:right="366" w:firstLine="641"/>
        <w:spacing w:after="0" w:line="480" w:lineRule="exact"/>
        <w:rPr>
          <w:sz w:val="20"/>
          <w:szCs w:val="20"/>
          <w:color w:val="auto"/>
        </w:rPr>
      </w:pPr>
      <w:r>
        <w:rPr>
          <w:rFonts w:ascii="宋体" w:cs="宋体" w:eastAsia="宋体" w:hAnsi="宋体"/>
          <w:sz w:val="32"/>
          <w:szCs w:val="32"/>
          <w:color w:val="auto"/>
        </w:rPr>
        <w:t>（四）限制参与政府采购、政府购买服务、国有土地出让、政府投资项目或者主要使用财政性资金项目的招标等活动；</w:t>
      </w:r>
    </w:p>
    <w:p>
      <w:pPr>
        <w:spacing w:after="0" w:line="243" w:lineRule="exact"/>
        <w:rPr>
          <w:sz w:val="20"/>
          <w:szCs w:val="20"/>
          <w:color w:val="auto"/>
        </w:rPr>
      </w:pPr>
    </w:p>
    <w:p>
      <w:pPr>
        <w:jc w:val="both"/>
        <w:ind w:left="360" w:right="366" w:firstLine="641"/>
        <w:spacing w:after="0" w:line="437" w:lineRule="exact"/>
        <w:rPr>
          <w:sz w:val="20"/>
          <w:szCs w:val="20"/>
          <w:color w:val="auto"/>
        </w:rPr>
      </w:pPr>
      <w:r>
        <w:rPr>
          <w:rFonts w:ascii="宋体" w:cs="宋体" w:eastAsia="宋体" w:hAnsi="宋体"/>
          <w:sz w:val="32"/>
          <w:szCs w:val="32"/>
          <w:color w:val="auto"/>
        </w:rPr>
        <w:t>（五）限制担任单位的法定代表人、负责人或者高级管理人员；</w:t>
      </w:r>
    </w:p>
    <w:p>
      <w:pPr>
        <w:spacing w:after="0" w:line="200"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（六）限制参与政府组织的表彰奖励活动；</w:t>
      </w:r>
    </w:p>
    <w:p>
      <w:pPr>
        <w:spacing w:after="0" w:line="194"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（七）国家规定的其他惩戒性措施。</w:t>
      </w:r>
    </w:p>
    <w:p>
      <w:pPr>
        <w:spacing w:after="0" w:line="242" w:lineRule="exact"/>
        <w:rPr>
          <w:sz w:val="20"/>
          <w:szCs w:val="20"/>
          <w:color w:val="auto"/>
        </w:rPr>
      </w:pPr>
    </w:p>
    <w:p>
      <w:pPr>
        <w:jc w:val="both"/>
        <w:ind w:left="360" w:right="366" w:firstLine="641"/>
        <w:spacing w:after="0" w:line="480" w:lineRule="exact"/>
        <w:rPr>
          <w:sz w:val="20"/>
          <w:szCs w:val="20"/>
          <w:color w:val="auto"/>
        </w:rPr>
      </w:pPr>
      <w:r>
        <w:rPr>
          <w:rFonts w:ascii="宋体" w:cs="宋体" w:eastAsia="宋体" w:hAnsi="宋体"/>
          <w:sz w:val="32"/>
          <w:szCs w:val="32"/>
          <w:color w:val="auto"/>
        </w:rPr>
        <w:t>第二十八条 行政机关对单位和自然人实施的惩戒性措施，应当与单位和自然人的信用状况相适应、相匹配、相关联，不得超越法定的许可条件、处罚种类和幅度。</w:t>
      </w:r>
    </w:p>
    <w:p>
      <w:pPr>
        <w:spacing w:after="0" w:line="243" w:lineRule="exact"/>
        <w:rPr>
          <w:sz w:val="20"/>
          <w:szCs w:val="20"/>
          <w:color w:val="auto"/>
        </w:rPr>
      </w:pPr>
    </w:p>
    <w:p>
      <w:pPr>
        <w:jc w:val="both"/>
        <w:ind w:left="360" w:right="366" w:firstLine="641"/>
        <w:spacing w:after="0" w:line="480" w:lineRule="exact"/>
        <w:rPr>
          <w:sz w:val="20"/>
          <w:szCs w:val="20"/>
          <w:color w:val="auto"/>
        </w:rPr>
      </w:pPr>
      <w:r>
        <w:rPr>
          <w:rFonts w:ascii="宋体" w:cs="宋体" w:eastAsia="宋体" w:hAnsi="宋体"/>
          <w:sz w:val="32"/>
          <w:szCs w:val="32"/>
          <w:color w:val="auto"/>
        </w:rPr>
        <w:t>第二十九条 市经济信息化部门可以会同有关行政机关依照国家和本市有关规定，对单位和自然人实行守信联合激励和失信联合惩戒措施。</w:t>
      </w:r>
    </w:p>
    <w:p>
      <w:pPr>
        <w:spacing w:after="0" w:line="243" w:lineRule="exact"/>
        <w:rPr>
          <w:sz w:val="20"/>
          <w:szCs w:val="20"/>
          <w:color w:val="auto"/>
        </w:rPr>
      </w:pPr>
    </w:p>
    <w:p>
      <w:pPr>
        <w:jc w:val="both"/>
        <w:ind w:left="360" w:right="366" w:firstLine="641"/>
        <w:spacing w:after="0" w:line="499" w:lineRule="exact"/>
        <w:rPr>
          <w:sz w:val="20"/>
          <w:szCs w:val="20"/>
          <w:color w:val="auto"/>
        </w:rPr>
      </w:pPr>
      <w:r>
        <w:rPr>
          <w:rFonts w:ascii="宋体" w:cs="宋体" w:eastAsia="宋体" w:hAnsi="宋体"/>
          <w:sz w:val="32"/>
          <w:szCs w:val="32"/>
          <w:color w:val="auto"/>
        </w:rPr>
        <w:t>第三十条 市经济信息化部门应当与周边省、自治区、直辖市相关部门建立公共信用信息工作合作共建机制，推进公共信用信息共享，建立守信激励和失信惩戒区域联动机制，优化区域信用环境。</w:t>
      </w:r>
    </w:p>
    <w:p>
      <w:pPr>
        <w:spacing w:after="0" w:line="246" w:lineRule="exact"/>
        <w:rPr>
          <w:sz w:val="20"/>
          <w:szCs w:val="20"/>
          <w:color w:val="auto"/>
        </w:rPr>
      </w:pPr>
    </w:p>
    <w:p>
      <w:pPr>
        <w:jc w:val="both"/>
        <w:ind w:left="360" w:right="206" w:firstLine="641"/>
        <w:spacing w:after="0" w:line="478" w:lineRule="exact"/>
        <w:rPr>
          <w:sz w:val="20"/>
          <w:szCs w:val="20"/>
          <w:color w:val="auto"/>
        </w:rPr>
      </w:pPr>
      <w:r>
        <w:rPr>
          <w:rFonts w:ascii="宋体" w:cs="宋体" w:eastAsia="宋体" w:hAnsi="宋体"/>
          <w:sz w:val="32"/>
          <w:szCs w:val="32"/>
          <w:color w:val="auto"/>
        </w:rPr>
        <w:t>第三十一条 鼓励单位和自然人在开展金融活动、市场交易、行业管理等活动中应用公共信用信息，防范交易风险，提高全社会诚信意识。</w:t>
      </w:r>
    </w:p>
    <w:p>
      <w:pPr>
        <w:spacing w:after="0" w:line="247" w:lineRule="exact"/>
        <w:rPr>
          <w:sz w:val="20"/>
          <w:szCs w:val="20"/>
          <w:color w:val="auto"/>
        </w:rPr>
      </w:pPr>
    </w:p>
    <w:p>
      <w:pPr>
        <w:ind w:left="360" w:right="366" w:firstLine="641"/>
        <w:spacing w:after="0" w:line="437" w:lineRule="exact"/>
        <w:rPr>
          <w:sz w:val="20"/>
          <w:szCs w:val="20"/>
          <w:color w:val="auto"/>
        </w:rPr>
      </w:pPr>
      <w:r>
        <w:rPr>
          <w:rFonts w:ascii="宋体" w:cs="宋体" w:eastAsia="宋体" w:hAnsi="宋体"/>
          <w:sz w:val="32"/>
          <w:szCs w:val="32"/>
          <w:color w:val="auto"/>
        </w:rPr>
        <w:t>第三十二条 鼓励和扶持信用服务机构应用公共信用信息，开发和创新信用产品，扩大信用产品的使用范围。</w:t>
      </w:r>
    </w:p>
    <w:p>
      <w:pPr>
        <w:spacing w:after="0" w:line="197"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第三十三条 行政机关未履行本办法规定的相关职责</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ind w:left="4380"/>
        <w:spacing w:after="0" w:line="308" w:lineRule="exact"/>
        <w:rPr>
          <w:sz w:val="20"/>
          <w:szCs w:val="20"/>
          <w:color w:val="auto"/>
        </w:rPr>
      </w:pPr>
      <w:r>
        <w:rPr>
          <w:rFonts w:ascii="宋体" w:cs="宋体" w:eastAsia="宋体" w:hAnsi="宋体"/>
          <w:sz w:val="27"/>
          <w:szCs w:val="27"/>
          <w:color w:val="auto"/>
        </w:rPr>
        <w:t>- 49 -</w:t>
      </w:r>
    </w:p>
    <w:p>
      <w:pPr>
        <w:sectPr>
          <w:pgSz w:w="11900" w:h="16838" w:orient="portrait"/>
          <w:cols w:equalWidth="0" w:num="1">
            <w:col w:w="9026"/>
          </w:cols>
          <w:pgMar w:left="1440" w:top="1440" w:right="1440" w:bottom="500" w:gutter="0" w:footer="0" w:header="0"/>
          <w:type w:val="continuous"/>
        </w:sectPr>
      </w:pPr>
    </w:p>
    <w:bookmarkStart w:id="51" w:name="page52"/>
    <w:bookmarkEnd w:id="51"/>
    <w:p>
      <w:pPr>
        <w:spacing w:after="0" w:line="177" w:lineRule="exact"/>
        <w:rPr>
          <w:sz w:val="20"/>
          <w:szCs w:val="20"/>
          <w:color w:val="auto"/>
        </w:rPr>
      </w:pPr>
    </w:p>
    <w:p>
      <w:pPr>
        <w:jc w:val="both"/>
        <w:ind w:left="360" w:right="366"/>
        <w:spacing w:after="0" w:line="478" w:lineRule="exact"/>
        <w:rPr>
          <w:sz w:val="20"/>
          <w:szCs w:val="20"/>
          <w:color w:val="auto"/>
        </w:rPr>
      </w:pPr>
      <w:r>
        <w:rPr>
          <w:rFonts w:ascii="宋体" w:cs="宋体" w:eastAsia="宋体" w:hAnsi="宋体"/>
          <w:sz w:val="32"/>
          <w:szCs w:val="32"/>
          <w:color w:val="auto"/>
        </w:rPr>
        <w:t>的，由市经济信息化部门或者区人民政府确定的工作部门书面督促改正；经督促仍不改正的，提请本级人民政府给予通报批评。</w:t>
      </w:r>
    </w:p>
    <w:p>
      <w:pPr>
        <w:spacing w:after="0" w:line="247" w:lineRule="exact"/>
        <w:rPr>
          <w:sz w:val="20"/>
          <w:szCs w:val="20"/>
          <w:color w:val="auto"/>
        </w:rPr>
      </w:pPr>
    </w:p>
    <w:p>
      <w:pPr>
        <w:jc w:val="both"/>
        <w:ind w:left="360" w:right="366" w:firstLine="641"/>
        <w:spacing w:after="0" w:line="437" w:lineRule="exact"/>
        <w:rPr>
          <w:sz w:val="20"/>
          <w:szCs w:val="20"/>
          <w:color w:val="auto"/>
        </w:rPr>
      </w:pPr>
      <w:r>
        <w:rPr>
          <w:rFonts w:ascii="宋体" w:cs="宋体" w:eastAsia="宋体" w:hAnsi="宋体"/>
          <w:sz w:val="32"/>
          <w:szCs w:val="32"/>
          <w:color w:val="auto"/>
        </w:rPr>
        <w:t>第三十四条 行政机关工作人员有下列情形之一的，由有权机关依法处理：</w:t>
      </w:r>
    </w:p>
    <w:p>
      <w:pPr>
        <w:spacing w:after="0" w:line="197"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（一）以不正当手段归集公共信用信息的；</w:t>
      </w:r>
    </w:p>
    <w:p>
      <w:pPr>
        <w:spacing w:after="0" w:line="197"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（二）虚构、篡改或者违规删除公共信用信息的；</w:t>
      </w:r>
    </w:p>
    <w:p>
      <w:pPr>
        <w:spacing w:after="0" w:line="194"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（三）擅自查询或者越权查询公共信用信息的；</w:t>
      </w:r>
    </w:p>
    <w:p>
      <w:pPr>
        <w:spacing w:after="0" w:line="194"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（四）违规披露或者泄露公共信用信息的。</w:t>
      </w:r>
    </w:p>
    <w:p>
      <w:pPr>
        <w:spacing w:after="0" w:line="210" w:lineRule="exact"/>
        <w:rPr>
          <w:sz w:val="20"/>
          <w:szCs w:val="20"/>
          <w:color w:val="auto"/>
        </w:rPr>
      </w:pPr>
    </w:p>
    <w:p>
      <w:pPr>
        <w:jc w:val="both"/>
        <w:ind w:left="360" w:right="366" w:firstLine="641"/>
        <w:spacing w:after="0" w:line="481" w:lineRule="exact"/>
        <w:rPr>
          <w:sz w:val="20"/>
          <w:szCs w:val="20"/>
          <w:color w:val="auto"/>
        </w:rPr>
      </w:pPr>
      <w:r>
        <w:rPr>
          <w:rFonts w:ascii="宋体" w:cs="宋体" w:eastAsia="宋体" w:hAnsi="宋体"/>
          <w:sz w:val="32"/>
          <w:szCs w:val="32"/>
          <w:color w:val="auto"/>
        </w:rPr>
        <w:t>第三十五条 本办法自</w:t>
      </w:r>
      <w:r>
        <w:rPr>
          <w:rFonts w:ascii="Calibri" w:cs="Calibri" w:eastAsia="Calibri" w:hAnsi="Calibri"/>
          <w:sz w:val="32"/>
          <w:szCs w:val="32"/>
          <w:color w:val="auto"/>
        </w:rPr>
        <w:t xml:space="preserve"> 2018 </w:t>
      </w:r>
      <w:r>
        <w:rPr>
          <w:rFonts w:ascii="宋体" w:cs="宋体" w:eastAsia="宋体" w:hAnsi="宋体"/>
          <w:sz w:val="32"/>
          <w:szCs w:val="32"/>
          <w:color w:val="auto"/>
        </w:rPr>
        <w:t>年</w:t>
      </w:r>
      <w:r>
        <w:rPr>
          <w:rFonts w:ascii="Calibri" w:cs="Calibri" w:eastAsia="Calibri" w:hAnsi="Calibri"/>
          <w:sz w:val="32"/>
          <w:szCs w:val="32"/>
          <w:color w:val="auto"/>
        </w:rPr>
        <w:t xml:space="preserve"> 5 </w:t>
      </w:r>
      <w:r>
        <w:rPr>
          <w:rFonts w:ascii="宋体" w:cs="宋体" w:eastAsia="宋体" w:hAnsi="宋体"/>
          <w:sz w:val="32"/>
          <w:szCs w:val="32"/>
          <w:color w:val="auto"/>
        </w:rPr>
        <w:t>月</w:t>
      </w:r>
      <w:r>
        <w:rPr>
          <w:rFonts w:ascii="Calibri" w:cs="Calibri" w:eastAsia="Calibri" w:hAnsi="Calibri"/>
          <w:sz w:val="32"/>
          <w:szCs w:val="32"/>
          <w:color w:val="auto"/>
        </w:rPr>
        <w:t xml:space="preserve"> 1 </w:t>
      </w:r>
      <w:r>
        <w:rPr>
          <w:rFonts w:ascii="宋体" w:cs="宋体" w:eastAsia="宋体" w:hAnsi="宋体"/>
          <w:sz w:val="32"/>
          <w:szCs w:val="32"/>
          <w:color w:val="auto"/>
        </w:rPr>
        <w:t>日起施行。</w:t>
      </w:r>
      <w:r>
        <w:rPr>
          <w:rFonts w:ascii="Calibri" w:cs="Calibri" w:eastAsia="Calibri" w:hAnsi="Calibri"/>
          <w:sz w:val="32"/>
          <w:szCs w:val="32"/>
          <w:color w:val="auto"/>
        </w:rPr>
        <w:t xml:space="preserve"> 2002 </w:t>
      </w:r>
      <w:r>
        <w:rPr>
          <w:rFonts w:ascii="宋体" w:cs="宋体" w:eastAsia="宋体" w:hAnsi="宋体"/>
          <w:sz w:val="32"/>
          <w:szCs w:val="32"/>
          <w:color w:val="auto"/>
        </w:rPr>
        <w:t>年</w:t>
      </w:r>
      <w:r>
        <w:rPr>
          <w:rFonts w:ascii="Calibri" w:cs="Calibri" w:eastAsia="Calibri" w:hAnsi="Calibri"/>
          <w:sz w:val="32"/>
          <w:szCs w:val="32"/>
          <w:color w:val="auto"/>
        </w:rPr>
        <w:t xml:space="preserve"> 8 </w:t>
      </w:r>
      <w:r>
        <w:rPr>
          <w:rFonts w:ascii="宋体" w:cs="宋体" w:eastAsia="宋体" w:hAnsi="宋体"/>
          <w:sz w:val="32"/>
          <w:szCs w:val="32"/>
          <w:color w:val="auto"/>
        </w:rPr>
        <w:t>月</w:t>
      </w:r>
      <w:r>
        <w:rPr>
          <w:rFonts w:ascii="Calibri" w:cs="Calibri" w:eastAsia="Calibri" w:hAnsi="Calibri"/>
          <w:sz w:val="32"/>
          <w:szCs w:val="32"/>
          <w:color w:val="auto"/>
        </w:rPr>
        <w:t xml:space="preserve"> 31 </w:t>
      </w:r>
      <w:r>
        <w:rPr>
          <w:rFonts w:ascii="宋体" w:cs="宋体" w:eastAsia="宋体" w:hAnsi="宋体"/>
          <w:sz w:val="32"/>
          <w:szCs w:val="32"/>
          <w:color w:val="auto"/>
        </w:rPr>
        <w:t>日北京市人民政府第</w:t>
      </w:r>
      <w:r>
        <w:rPr>
          <w:rFonts w:ascii="Calibri" w:cs="Calibri" w:eastAsia="Calibri" w:hAnsi="Calibri"/>
          <w:sz w:val="32"/>
          <w:szCs w:val="32"/>
          <w:color w:val="auto"/>
        </w:rPr>
        <w:t xml:space="preserve"> 106 </w:t>
      </w:r>
      <w:r>
        <w:rPr>
          <w:rFonts w:ascii="宋体" w:cs="宋体" w:eastAsia="宋体" w:hAnsi="宋体"/>
          <w:sz w:val="32"/>
          <w:szCs w:val="32"/>
          <w:color w:val="auto"/>
        </w:rPr>
        <w:t>号令公布的</w:t>
      </w:r>
    </w:p>
    <w:p>
      <w:pPr>
        <w:spacing w:after="0" w:line="192" w:lineRule="exact"/>
        <w:rPr>
          <w:sz w:val="20"/>
          <w:szCs w:val="20"/>
          <w:color w:val="auto"/>
        </w:rPr>
      </w:pPr>
    </w:p>
    <w:p>
      <w:pPr>
        <w:jc w:val="both"/>
        <w:ind w:left="360" w:right="366"/>
        <w:spacing w:after="0" w:line="438" w:lineRule="exact"/>
        <w:rPr>
          <w:sz w:val="20"/>
          <w:szCs w:val="20"/>
          <w:color w:val="auto"/>
        </w:rPr>
      </w:pPr>
      <w:r>
        <w:rPr>
          <w:rFonts w:ascii="宋体" w:cs="宋体" w:eastAsia="宋体" w:hAnsi="宋体"/>
          <w:sz w:val="32"/>
          <w:szCs w:val="32"/>
          <w:color w:val="auto"/>
        </w:rPr>
        <w:t>《北京市行政机关归集和公布企业信用信息管理办法》同时废止。</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ind w:left="4380"/>
        <w:spacing w:after="0" w:line="308" w:lineRule="exact"/>
        <w:rPr>
          <w:sz w:val="20"/>
          <w:szCs w:val="20"/>
          <w:color w:val="auto"/>
        </w:rPr>
      </w:pPr>
      <w:r>
        <w:rPr>
          <w:rFonts w:ascii="宋体" w:cs="宋体" w:eastAsia="宋体" w:hAnsi="宋体"/>
          <w:sz w:val="27"/>
          <w:szCs w:val="27"/>
          <w:color w:val="auto"/>
        </w:rPr>
        <w:t>- 50 -</w:t>
      </w:r>
    </w:p>
    <w:p>
      <w:pPr>
        <w:sectPr>
          <w:pgSz w:w="11900" w:h="16838" w:orient="portrait"/>
          <w:cols w:equalWidth="0" w:num="1">
            <w:col w:w="9026"/>
          </w:cols>
          <w:pgMar w:left="1440" w:top="1440" w:right="1440" w:bottom="500" w:gutter="0" w:footer="0" w:header="0"/>
          <w:type w:val="continuous"/>
        </w:sectPr>
      </w:pPr>
    </w:p>
    <w:bookmarkStart w:id="52" w:name="page53"/>
    <w:bookmarkEnd w:id="52"/>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2640"/>
        <w:spacing w:after="0" w:line="502" w:lineRule="exact"/>
        <w:rPr>
          <w:sz w:val="20"/>
          <w:szCs w:val="20"/>
          <w:color w:val="auto"/>
        </w:rPr>
      </w:pPr>
      <w:r>
        <w:rPr>
          <w:rFonts w:ascii="宋体" w:cs="宋体" w:eastAsia="宋体" w:hAnsi="宋体"/>
          <w:sz w:val="44"/>
          <w:szCs w:val="44"/>
          <w:color w:val="auto"/>
        </w:rPr>
        <w:t>第二部分 相关行业规章</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jc w:val="both"/>
        <w:ind w:left="360" w:right="366" w:firstLine="641"/>
        <w:spacing w:after="0" w:line="512" w:lineRule="exact"/>
        <w:rPr>
          <w:sz w:val="20"/>
          <w:szCs w:val="20"/>
          <w:color w:val="auto"/>
        </w:rPr>
      </w:pPr>
      <w:r>
        <w:rPr>
          <w:rFonts w:ascii="宋体" w:cs="宋体" w:eastAsia="宋体" w:hAnsi="宋体"/>
          <w:sz w:val="32"/>
          <w:szCs w:val="32"/>
          <w:color w:val="auto"/>
        </w:rPr>
        <w:t>行政法规是我国法律体系的重要组成部分，是划分市场主体行为的尺度与标准。对失信行为的认定是行政法规中重要内容，因此，企业要了解与掌握相关行政法规，自觉遵守相关法规，提高守法意识，避免出现失信行为或受到行政处罚，自觉维护自身的合法权益。</w:t>
      </w:r>
    </w:p>
    <w:p>
      <w:pPr>
        <w:spacing w:after="0" w:line="246" w:lineRule="exact"/>
        <w:rPr>
          <w:sz w:val="20"/>
          <w:szCs w:val="20"/>
          <w:color w:val="auto"/>
        </w:rPr>
      </w:pPr>
    </w:p>
    <w:p>
      <w:pPr>
        <w:jc w:val="both"/>
        <w:ind w:left="360" w:right="346" w:firstLine="641"/>
        <w:spacing w:after="0" w:line="525" w:lineRule="exact"/>
        <w:rPr>
          <w:sz w:val="20"/>
          <w:szCs w:val="20"/>
          <w:color w:val="auto"/>
        </w:rPr>
      </w:pPr>
      <w:r>
        <w:rPr>
          <w:rFonts w:ascii="宋体" w:cs="宋体" w:eastAsia="宋体" w:hAnsi="宋体"/>
          <w:sz w:val="32"/>
          <w:szCs w:val="32"/>
          <w:color w:val="auto"/>
        </w:rPr>
        <w:t>信用分级分类监管管理办法是对行政法规的有益补充，是北京市为优化营商环境，推动高质量发展，全力打造新型监管机制的重要一环。通过实行行业的信用分级分类监管，制定行业领域的统一信用分级分类监管措施清单，统一监管标准，引导社会主体积极改善自身信用状况，提高全社会诚信守法意识。北京市各行业的分级分类监管办法正持续推进中，文化和旅游行业已出台试行管理办法。</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ind w:left="4380"/>
        <w:spacing w:after="0" w:line="308" w:lineRule="exact"/>
        <w:rPr>
          <w:sz w:val="20"/>
          <w:szCs w:val="20"/>
          <w:color w:val="auto"/>
        </w:rPr>
      </w:pPr>
      <w:r>
        <w:rPr>
          <w:rFonts w:ascii="宋体" w:cs="宋体" w:eastAsia="宋体" w:hAnsi="宋体"/>
          <w:sz w:val="27"/>
          <w:szCs w:val="27"/>
          <w:color w:val="auto"/>
        </w:rPr>
        <w:t>- 51 -</w:t>
      </w:r>
    </w:p>
    <w:p>
      <w:pPr>
        <w:sectPr>
          <w:pgSz w:w="11900" w:h="16838" w:orient="portrait"/>
          <w:cols w:equalWidth="0" w:num="1">
            <w:col w:w="9026"/>
          </w:cols>
          <w:pgMar w:left="1440" w:top="1440" w:right="1440" w:bottom="500" w:gutter="0" w:footer="0" w:header="0"/>
          <w:type w:val="continuous"/>
        </w:sectPr>
      </w:pPr>
    </w:p>
    <w:bookmarkStart w:id="53" w:name="page54"/>
    <w:bookmarkEnd w:id="53"/>
    <w:p>
      <w:pPr>
        <w:spacing w:after="0" w:line="162" w:lineRule="exact"/>
        <w:rPr>
          <w:sz w:val="20"/>
          <w:szCs w:val="20"/>
          <w:color w:val="auto"/>
        </w:rPr>
      </w:pPr>
    </w:p>
    <w:p>
      <w:pPr>
        <w:ind w:left="2320" w:right="546" w:hanging="880"/>
        <w:spacing w:after="0" w:line="611" w:lineRule="exact"/>
        <w:rPr>
          <w:sz w:val="20"/>
          <w:szCs w:val="20"/>
          <w:color w:val="auto"/>
        </w:rPr>
      </w:pPr>
      <w:r>
        <w:rPr>
          <w:rFonts w:ascii="宋体" w:cs="宋体" w:eastAsia="宋体" w:hAnsi="宋体"/>
          <w:sz w:val="44"/>
          <w:szCs w:val="44"/>
          <w:color w:val="auto"/>
        </w:rPr>
        <w:t>北京市文化和旅游行业信用分级分类监管管理办法（试行）</w:t>
      </w:r>
    </w:p>
    <w:p>
      <w:pPr>
        <w:spacing w:after="0" w:line="200" w:lineRule="exact"/>
        <w:rPr>
          <w:sz w:val="20"/>
          <w:szCs w:val="20"/>
          <w:color w:val="auto"/>
        </w:rPr>
      </w:pPr>
    </w:p>
    <w:p>
      <w:pPr>
        <w:spacing w:after="0" w:line="274" w:lineRule="exact"/>
        <w:rPr>
          <w:sz w:val="20"/>
          <w:szCs w:val="20"/>
          <w:color w:val="auto"/>
        </w:rPr>
      </w:pPr>
    </w:p>
    <w:p>
      <w:pPr>
        <w:jc w:val="center"/>
        <w:ind w:left="3680"/>
        <w:spacing w:after="0" w:line="366" w:lineRule="exact"/>
        <w:tabs>
          <w:tab w:leader="none" w:pos="300" w:val="left"/>
        </w:tabs>
        <w:rPr>
          <w:sz w:val="20"/>
          <w:szCs w:val="20"/>
          <w:color w:val="auto"/>
        </w:rPr>
      </w:pPr>
      <w:r>
        <w:rPr>
          <w:rFonts w:ascii="宋体" w:cs="宋体" w:eastAsia="宋体" w:hAnsi="宋体"/>
          <w:sz w:val="32"/>
          <w:szCs w:val="32"/>
          <w:color w:val="auto"/>
        </w:rPr>
        <w:t>第一章</w:t>
        <w:tab/>
        <w:t>总则</w:t>
      </w:r>
    </w:p>
    <w:p>
      <w:pPr>
        <w:spacing w:after="0" w:line="245" w:lineRule="exact"/>
        <w:rPr>
          <w:sz w:val="20"/>
          <w:szCs w:val="20"/>
          <w:color w:val="auto"/>
        </w:rPr>
      </w:pPr>
    </w:p>
    <w:p>
      <w:pPr>
        <w:jc w:val="both"/>
        <w:ind w:left="360" w:right="206" w:firstLine="641"/>
        <w:spacing w:after="0" w:line="537" w:lineRule="exact"/>
        <w:rPr>
          <w:sz w:val="20"/>
          <w:szCs w:val="20"/>
          <w:color w:val="auto"/>
        </w:rPr>
      </w:pPr>
      <w:r>
        <w:rPr>
          <w:rFonts w:ascii="宋体" w:cs="宋体" w:eastAsia="宋体" w:hAnsi="宋体"/>
          <w:sz w:val="32"/>
          <w:szCs w:val="32"/>
          <w:color w:val="auto"/>
        </w:rPr>
        <w:t>第一条 为推进北京市文化和旅游行业信用体系建设，建立健全信用分级分类监管机制，增强文化和旅游市场主体诚信意识，提高事中事后监管效能，规范市场秩序，促进文化和旅游行业高质量发展，根据《国务院办公厅关于加快推进社会信用体系建设构建以信用为基础的新型监管机制的指导意见》《北京市人民政府关于建立完善信用联合惩戒制度加快推进诚信建设的实施意见》和《北京市公共信用信息管理办法》《北京市优化营商环境条例》《北京市政务服务事项告知承诺审批管理办法》《北京市开展信用分级分类监管工作的实施意见》等法律法规和政策文件，结合本市实际，制定本办法。</w:t>
      </w:r>
    </w:p>
    <w:p>
      <w:pPr>
        <w:spacing w:after="0" w:line="253" w:lineRule="exact"/>
        <w:rPr>
          <w:sz w:val="20"/>
          <w:szCs w:val="20"/>
          <w:color w:val="auto"/>
        </w:rPr>
      </w:pPr>
    </w:p>
    <w:p>
      <w:pPr>
        <w:jc w:val="both"/>
        <w:ind w:left="360" w:right="366" w:firstLine="641"/>
        <w:spacing w:after="0" w:line="480" w:lineRule="exact"/>
        <w:rPr>
          <w:sz w:val="20"/>
          <w:szCs w:val="20"/>
          <w:color w:val="auto"/>
        </w:rPr>
      </w:pPr>
      <w:r>
        <w:rPr>
          <w:rFonts w:ascii="宋体" w:cs="宋体" w:eastAsia="宋体" w:hAnsi="宋体"/>
          <w:sz w:val="32"/>
          <w:szCs w:val="32"/>
          <w:color w:val="auto"/>
        </w:rPr>
        <w:t>第二条 对北京市行政区域内文化和旅游行业市场主体及其从业人员执业行为的信用评价、信用监管等相关活动，适用本办法。</w:t>
      </w:r>
    </w:p>
    <w:p>
      <w:pPr>
        <w:spacing w:after="0" w:line="243" w:lineRule="exact"/>
        <w:rPr>
          <w:sz w:val="20"/>
          <w:szCs w:val="20"/>
          <w:color w:val="auto"/>
        </w:rPr>
      </w:pPr>
    </w:p>
    <w:p>
      <w:pPr>
        <w:jc w:val="both"/>
        <w:ind w:left="360" w:right="346" w:firstLine="641"/>
        <w:spacing w:after="0" w:line="519" w:lineRule="exact"/>
        <w:rPr>
          <w:sz w:val="20"/>
          <w:szCs w:val="20"/>
          <w:color w:val="auto"/>
        </w:rPr>
      </w:pPr>
      <w:r>
        <w:rPr>
          <w:rFonts w:ascii="宋体" w:cs="宋体" w:eastAsia="宋体" w:hAnsi="宋体"/>
          <w:sz w:val="31"/>
          <w:szCs w:val="31"/>
          <w:color w:val="auto"/>
        </w:rPr>
        <w:t>第三条 本办法所称文化市场主体包括本市从事营业性演出、娱乐场所、艺术品、互联网上网服务、网络文化等经营活动的企业和个体工商户；旅游市场主体，包括本市旅行社、等级景区、宾馆饭店等从事旅游经营服务的企事业、个体工商户和通过互联网等信息网络从事提供在线旅游服务或者产品的经营者。从业人员包括上述市场主体的从业人</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ind w:left="4380"/>
        <w:spacing w:after="0" w:line="308" w:lineRule="exact"/>
        <w:rPr>
          <w:sz w:val="20"/>
          <w:szCs w:val="20"/>
          <w:color w:val="auto"/>
        </w:rPr>
      </w:pPr>
      <w:r>
        <w:rPr>
          <w:rFonts w:ascii="宋体" w:cs="宋体" w:eastAsia="宋体" w:hAnsi="宋体"/>
          <w:sz w:val="27"/>
          <w:szCs w:val="27"/>
          <w:color w:val="auto"/>
        </w:rPr>
        <w:t>- 52 -</w:t>
      </w:r>
    </w:p>
    <w:p>
      <w:pPr>
        <w:sectPr>
          <w:pgSz w:w="11900" w:h="16838" w:orient="portrait"/>
          <w:cols w:equalWidth="0" w:num="1">
            <w:col w:w="9026"/>
          </w:cols>
          <w:pgMar w:left="1440" w:top="1440" w:right="1440" w:bottom="500" w:gutter="0" w:footer="0" w:header="0"/>
          <w:type w:val="continuous"/>
        </w:sectPr>
      </w:pPr>
    </w:p>
    <w:bookmarkStart w:id="54" w:name="page55"/>
    <w:bookmarkEnd w:id="54"/>
    <w:p>
      <w:pPr>
        <w:spacing w:after="0" w:line="12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员。</w:t>
      </w:r>
    </w:p>
    <w:p>
      <w:pPr>
        <w:spacing w:after="0" w:line="242" w:lineRule="exact"/>
        <w:rPr>
          <w:sz w:val="20"/>
          <w:szCs w:val="20"/>
          <w:color w:val="auto"/>
        </w:rPr>
      </w:pPr>
    </w:p>
    <w:p>
      <w:pPr>
        <w:jc w:val="both"/>
        <w:ind w:left="360" w:right="366" w:firstLine="641"/>
        <w:spacing w:after="0" w:line="512" w:lineRule="exact"/>
        <w:rPr>
          <w:sz w:val="20"/>
          <w:szCs w:val="20"/>
          <w:color w:val="auto"/>
        </w:rPr>
      </w:pPr>
      <w:r>
        <w:rPr>
          <w:rFonts w:ascii="宋体" w:cs="宋体" w:eastAsia="宋体" w:hAnsi="宋体"/>
          <w:sz w:val="32"/>
          <w:szCs w:val="32"/>
          <w:color w:val="auto"/>
        </w:rPr>
        <w:t>本办法所称公共信用信息，是指行政机关以及法律、法规授权的具有管理公共事务职能的组织（以下统称为行政机关），在依法履行职责过程中形成或者掌握的，能够反映文化和旅游企业和从业人员信用状况的数据和资料，一般包括基本信息、良好信息、警示信息和违法信息等。</w:t>
      </w:r>
    </w:p>
    <w:p>
      <w:pPr>
        <w:spacing w:after="0" w:line="246" w:lineRule="exact"/>
        <w:rPr>
          <w:sz w:val="20"/>
          <w:szCs w:val="20"/>
          <w:color w:val="auto"/>
        </w:rPr>
      </w:pPr>
    </w:p>
    <w:p>
      <w:pPr>
        <w:jc w:val="both"/>
        <w:ind w:left="360" w:right="366" w:firstLine="641"/>
        <w:spacing w:after="0" w:line="438" w:lineRule="exact"/>
        <w:rPr>
          <w:sz w:val="20"/>
          <w:szCs w:val="20"/>
          <w:color w:val="auto"/>
        </w:rPr>
      </w:pPr>
      <w:r>
        <w:rPr>
          <w:rFonts w:ascii="宋体" w:cs="宋体" w:eastAsia="宋体" w:hAnsi="宋体"/>
          <w:sz w:val="32"/>
          <w:szCs w:val="32"/>
          <w:color w:val="auto"/>
        </w:rPr>
        <w:t>本办法所称信用评价，是指由北京市文化和旅游局根据</w:t>
      </w:r>
      <w:r>
        <w:rPr>
          <w:rFonts w:ascii="Arial" w:cs="Arial" w:eastAsia="Arial" w:hAnsi="Arial"/>
          <w:sz w:val="32"/>
          <w:szCs w:val="32"/>
          <w:color w:val="auto"/>
        </w:rPr>
        <w:t>“</w:t>
      </w:r>
      <w:r>
        <w:rPr>
          <w:rFonts w:ascii="宋体" w:cs="宋体" w:eastAsia="宋体" w:hAnsi="宋体"/>
          <w:sz w:val="32"/>
          <w:szCs w:val="32"/>
          <w:color w:val="auto"/>
        </w:rPr>
        <w:t>合法、科学、公正、全面、适用</w:t>
      </w:r>
      <w:r>
        <w:rPr>
          <w:rFonts w:ascii="Arial" w:cs="Arial" w:eastAsia="Arial" w:hAnsi="Arial"/>
          <w:sz w:val="32"/>
          <w:szCs w:val="32"/>
          <w:color w:val="auto"/>
        </w:rPr>
        <w:t>”</w:t>
      </w:r>
      <w:r>
        <w:rPr>
          <w:rFonts w:ascii="宋体" w:cs="宋体" w:eastAsia="宋体" w:hAnsi="宋体"/>
          <w:sz w:val="32"/>
          <w:szCs w:val="32"/>
          <w:color w:val="auto"/>
        </w:rPr>
        <w:t>原则，以北京市公共信</w:t>
      </w:r>
    </w:p>
    <w:p>
      <w:pPr>
        <w:spacing w:after="0" w:line="243" w:lineRule="exact"/>
        <w:rPr>
          <w:sz w:val="20"/>
          <w:szCs w:val="20"/>
          <w:color w:val="auto"/>
        </w:rPr>
      </w:pPr>
    </w:p>
    <w:p>
      <w:pPr>
        <w:jc w:val="both"/>
        <w:ind w:left="360" w:right="346"/>
        <w:spacing w:after="0" w:line="512" w:lineRule="exact"/>
        <w:rPr>
          <w:sz w:val="20"/>
          <w:szCs w:val="20"/>
          <w:color w:val="auto"/>
        </w:rPr>
      </w:pPr>
      <w:r>
        <w:rPr>
          <w:rFonts w:ascii="宋体" w:cs="宋体" w:eastAsia="宋体" w:hAnsi="宋体"/>
          <w:sz w:val="32"/>
          <w:szCs w:val="32"/>
          <w:color w:val="auto"/>
        </w:rPr>
        <w:t>用信息平台归集的公共信用信息以及北京市文化和旅游行业信用监管平台归集的信用信息为依据，采用定性分析与定量分析相结合的评价方法，构建信用评价模型，对市场主体和从业人员信用状况进行量化，确定信用等级，并以数值、专用符号或文字形式记录的一种管理活动。</w:t>
      </w:r>
    </w:p>
    <w:p>
      <w:pPr>
        <w:spacing w:after="0" w:line="246" w:lineRule="exact"/>
        <w:rPr>
          <w:sz w:val="20"/>
          <w:szCs w:val="20"/>
          <w:color w:val="auto"/>
        </w:rPr>
      </w:pPr>
    </w:p>
    <w:p>
      <w:pPr>
        <w:jc w:val="both"/>
        <w:ind w:left="360" w:right="366" w:firstLine="641"/>
        <w:spacing w:after="0" w:line="480" w:lineRule="exact"/>
        <w:rPr>
          <w:sz w:val="20"/>
          <w:szCs w:val="20"/>
          <w:color w:val="auto"/>
        </w:rPr>
      </w:pPr>
      <w:r>
        <w:rPr>
          <w:rFonts w:ascii="宋体" w:cs="宋体" w:eastAsia="宋体" w:hAnsi="宋体"/>
          <w:sz w:val="32"/>
          <w:szCs w:val="32"/>
          <w:color w:val="auto"/>
        </w:rPr>
        <w:t>本办法所称信用分级分类监管，是指运用信用评价结果，对市场主体和从业人员进行评级，并实施分级分类监管的过程。</w:t>
      </w:r>
    </w:p>
    <w:p>
      <w:pPr>
        <w:spacing w:after="0" w:line="243" w:lineRule="exact"/>
        <w:rPr>
          <w:sz w:val="20"/>
          <w:szCs w:val="20"/>
          <w:color w:val="auto"/>
        </w:rPr>
      </w:pPr>
    </w:p>
    <w:p>
      <w:pPr>
        <w:jc w:val="both"/>
        <w:ind w:left="360" w:right="346" w:firstLine="641"/>
        <w:spacing w:after="0" w:line="479" w:lineRule="exact"/>
        <w:rPr>
          <w:sz w:val="20"/>
          <w:szCs w:val="20"/>
          <w:color w:val="auto"/>
        </w:rPr>
      </w:pPr>
      <w:r>
        <w:rPr>
          <w:rFonts w:ascii="宋体" w:cs="宋体" w:eastAsia="宋体" w:hAnsi="宋体"/>
          <w:sz w:val="31"/>
          <w:szCs w:val="31"/>
          <w:color w:val="auto"/>
        </w:rPr>
        <w:t>第四条 北京市文化和旅游局建设北京市文化和旅游行业信用监管平台，定期发布或更新全市文化和旅游行业主体相关公共信用信息，并向北京市公共信用信息平台共享。</w:t>
      </w:r>
    </w:p>
    <w:p>
      <w:pPr>
        <w:spacing w:after="0" w:line="244" w:lineRule="exact"/>
        <w:rPr>
          <w:sz w:val="20"/>
          <w:szCs w:val="20"/>
          <w:color w:val="auto"/>
        </w:rPr>
      </w:pPr>
    </w:p>
    <w:p>
      <w:pPr>
        <w:jc w:val="both"/>
        <w:ind w:left="360" w:right="366" w:firstLine="641"/>
        <w:spacing w:after="0" w:line="499" w:lineRule="exact"/>
        <w:rPr>
          <w:sz w:val="20"/>
          <w:szCs w:val="20"/>
          <w:color w:val="auto"/>
        </w:rPr>
      </w:pPr>
      <w:r>
        <w:rPr>
          <w:rFonts w:ascii="宋体" w:cs="宋体" w:eastAsia="宋体" w:hAnsi="宋体"/>
          <w:sz w:val="32"/>
          <w:szCs w:val="32"/>
          <w:color w:val="auto"/>
        </w:rPr>
        <w:t>第五条 文化和旅游公共信用信息的归集、公示和使用，应当遵循合法、客观、准确、必要和安全的原则，依法保护文化和旅游市场主体和从业人员的合法权益，不得泄露国家秘密，不得侵犯商业秘密和个人隐私。</w:t>
      </w:r>
    </w:p>
    <w:p>
      <w:pPr>
        <w:spacing w:after="0" w:line="196" w:lineRule="exact"/>
        <w:rPr>
          <w:sz w:val="20"/>
          <w:szCs w:val="20"/>
          <w:color w:val="auto"/>
        </w:rPr>
      </w:pPr>
    </w:p>
    <w:p>
      <w:pPr>
        <w:ind w:left="1000"/>
        <w:spacing w:after="0" w:line="366" w:lineRule="exact"/>
        <w:tabs>
          <w:tab w:leader="none" w:pos="2460" w:val="left"/>
        </w:tabs>
        <w:rPr>
          <w:sz w:val="20"/>
          <w:szCs w:val="20"/>
          <w:color w:val="auto"/>
        </w:rPr>
      </w:pPr>
      <w:r>
        <w:rPr>
          <w:rFonts w:ascii="宋体" w:cs="宋体" w:eastAsia="宋体" w:hAnsi="宋体"/>
          <w:sz w:val="32"/>
          <w:szCs w:val="32"/>
          <w:color w:val="auto"/>
        </w:rPr>
        <w:t>第六条</w:t>
      </w:r>
      <w:r>
        <w:rPr>
          <w:sz w:val="20"/>
          <w:szCs w:val="20"/>
          <w:color w:val="auto"/>
        </w:rPr>
        <w:tab/>
      </w:r>
      <w:r>
        <w:rPr>
          <w:rFonts w:ascii="宋体" w:cs="宋体" w:eastAsia="宋体" w:hAnsi="宋体"/>
          <w:sz w:val="32"/>
          <w:szCs w:val="32"/>
          <w:color w:val="auto"/>
        </w:rPr>
        <w:t>市、区文化和旅游局应当加强对文化和旅游</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ind w:left="4380"/>
        <w:spacing w:after="0" w:line="308" w:lineRule="exact"/>
        <w:rPr>
          <w:sz w:val="20"/>
          <w:szCs w:val="20"/>
          <w:color w:val="auto"/>
        </w:rPr>
      </w:pPr>
      <w:r>
        <w:rPr>
          <w:rFonts w:ascii="宋体" w:cs="宋体" w:eastAsia="宋体" w:hAnsi="宋体"/>
          <w:sz w:val="27"/>
          <w:szCs w:val="27"/>
          <w:color w:val="auto"/>
        </w:rPr>
        <w:t>- 53 -</w:t>
      </w:r>
    </w:p>
    <w:p>
      <w:pPr>
        <w:sectPr>
          <w:pgSz w:w="11900" w:h="16838" w:orient="portrait"/>
          <w:cols w:equalWidth="0" w:num="1">
            <w:col w:w="9026"/>
          </w:cols>
          <w:pgMar w:left="1440" w:top="1440" w:right="1440" w:bottom="500" w:gutter="0" w:footer="0" w:header="0"/>
          <w:type w:val="continuous"/>
        </w:sectPr>
      </w:pPr>
    </w:p>
    <w:bookmarkStart w:id="55" w:name="page56"/>
    <w:bookmarkEnd w:id="55"/>
    <w:p>
      <w:pPr>
        <w:spacing w:after="0" w:line="177" w:lineRule="exact"/>
        <w:rPr>
          <w:sz w:val="20"/>
          <w:szCs w:val="20"/>
          <w:color w:val="auto"/>
        </w:rPr>
      </w:pPr>
    </w:p>
    <w:p>
      <w:pPr>
        <w:jc w:val="both"/>
        <w:ind w:left="360" w:right="366"/>
        <w:spacing w:after="0" w:line="437" w:lineRule="exact"/>
        <w:rPr>
          <w:sz w:val="20"/>
          <w:szCs w:val="20"/>
          <w:color w:val="auto"/>
        </w:rPr>
      </w:pPr>
      <w:r>
        <w:rPr>
          <w:rFonts w:ascii="宋体" w:cs="宋体" w:eastAsia="宋体" w:hAnsi="宋体"/>
          <w:sz w:val="32"/>
          <w:szCs w:val="32"/>
          <w:color w:val="auto"/>
        </w:rPr>
        <w:t>行业信用分级分类监管工作的领导，建立健全工作协调机制，统筹推进文化和旅游行业信用体系建设整体工作。</w:t>
      </w:r>
    </w:p>
    <w:p>
      <w:pPr>
        <w:spacing w:after="0" w:line="197" w:lineRule="exact"/>
        <w:rPr>
          <w:sz w:val="20"/>
          <w:szCs w:val="20"/>
          <w:color w:val="auto"/>
        </w:rPr>
      </w:pPr>
    </w:p>
    <w:p>
      <w:pPr>
        <w:ind w:left="1000"/>
        <w:spacing w:after="0" w:line="366" w:lineRule="exact"/>
        <w:tabs>
          <w:tab w:leader="none" w:pos="2260" w:val="left"/>
        </w:tabs>
        <w:rPr>
          <w:sz w:val="20"/>
          <w:szCs w:val="20"/>
          <w:color w:val="auto"/>
        </w:rPr>
      </w:pPr>
      <w:r>
        <w:rPr>
          <w:rFonts w:ascii="宋体" w:cs="宋体" w:eastAsia="宋体" w:hAnsi="宋体"/>
          <w:sz w:val="32"/>
          <w:szCs w:val="32"/>
          <w:color w:val="auto"/>
        </w:rPr>
        <w:t>第二章</w:t>
        <w:tab/>
        <w:t>信用评价</w:t>
      </w:r>
    </w:p>
    <w:p>
      <w:pPr>
        <w:spacing w:after="0" w:line="245" w:lineRule="exact"/>
        <w:rPr>
          <w:sz w:val="20"/>
          <w:szCs w:val="20"/>
          <w:color w:val="auto"/>
        </w:rPr>
      </w:pPr>
    </w:p>
    <w:p>
      <w:pPr>
        <w:jc w:val="both"/>
        <w:ind w:left="360" w:right="346" w:firstLine="641"/>
        <w:spacing w:after="0" w:line="498" w:lineRule="exact"/>
        <w:rPr>
          <w:sz w:val="20"/>
          <w:szCs w:val="20"/>
          <w:color w:val="auto"/>
        </w:rPr>
      </w:pPr>
      <w:r>
        <w:rPr>
          <w:rFonts w:ascii="宋体" w:cs="宋体" w:eastAsia="宋体" w:hAnsi="宋体"/>
          <w:sz w:val="31"/>
          <w:szCs w:val="31"/>
          <w:color w:val="auto"/>
        </w:rPr>
        <w:t>第七条 北京市文化和旅游行业信用评价从基础信用、政务信用、第三方信用和行业领域信用四个维度，分类编制文化和旅游行业市场主体和从业人员评价标准，确定评价方法，实施信用评价。信用评价指标及权重实行动态管理。</w:t>
      </w:r>
    </w:p>
    <w:p>
      <w:pPr>
        <w:spacing w:after="0" w:line="213" w:lineRule="exact"/>
        <w:rPr>
          <w:sz w:val="20"/>
          <w:szCs w:val="20"/>
          <w:color w:val="auto"/>
        </w:rPr>
      </w:pPr>
    </w:p>
    <w:p>
      <w:pPr>
        <w:jc w:val="both"/>
        <w:ind w:left="360" w:right="366" w:firstLine="641"/>
        <w:spacing w:after="0" w:line="518" w:lineRule="exact"/>
        <w:rPr>
          <w:sz w:val="20"/>
          <w:szCs w:val="20"/>
          <w:color w:val="auto"/>
        </w:rPr>
      </w:pPr>
      <w:r>
        <w:rPr>
          <w:rFonts w:ascii="宋体" w:cs="宋体" w:eastAsia="宋体" w:hAnsi="宋体"/>
          <w:sz w:val="32"/>
          <w:szCs w:val="32"/>
          <w:color w:val="auto"/>
        </w:rPr>
        <w:t>第八条 参照国际通行的</w:t>
      </w:r>
      <w:r>
        <w:rPr>
          <w:rFonts w:ascii="Calibri" w:cs="Calibri" w:eastAsia="Calibri" w:hAnsi="Calibri"/>
          <w:sz w:val="32"/>
          <w:szCs w:val="32"/>
          <w:color w:val="auto"/>
        </w:rPr>
        <w:t xml:space="preserve"> 350-950 </w:t>
      </w:r>
      <w:r>
        <w:rPr>
          <w:rFonts w:ascii="宋体" w:cs="宋体" w:eastAsia="宋体" w:hAnsi="宋体"/>
          <w:sz w:val="32"/>
          <w:szCs w:val="32"/>
          <w:color w:val="auto"/>
        </w:rPr>
        <w:t>分值范围和《北京市行业领域信用分级分类监管工作参考指南》，结合本行业实际情况，北京市文化和旅游行业评价结果等级划分为</w:t>
      </w:r>
      <w:r>
        <w:rPr>
          <w:rFonts w:ascii="Calibri" w:cs="Calibri" w:eastAsia="Calibri" w:hAnsi="Calibri"/>
          <w:sz w:val="32"/>
          <w:szCs w:val="32"/>
          <w:color w:val="auto"/>
        </w:rPr>
        <w:t xml:space="preserve"> AAA</w:t>
      </w:r>
      <w:r>
        <w:rPr>
          <w:rFonts w:ascii="宋体" w:cs="宋体" w:eastAsia="宋体" w:hAnsi="宋体"/>
          <w:sz w:val="32"/>
          <w:szCs w:val="32"/>
          <w:color w:val="auto"/>
        </w:rPr>
        <w:t>（优秀）、</w:t>
      </w:r>
      <w:r>
        <w:rPr>
          <w:rFonts w:ascii="Calibri" w:cs="Calibri" w:eastAsia="Calibri" w:hAnsi="Calibri"/>
          <w:sz w:val="32"/>
          <w:szCs w:val="32"/>
          <w:color w:val="auto"/>
        </w:rPr>
        <w:t>AA</w:t>
      </w:r>
      <w:r>
        <w:rPr>
          <w:rFonts w:ascii="宋体" w:cs="宋体" w:eastAsia="宋体" w:hAnsi="宋体"/>
          <w:sz w:val="32"/>
          <w:szCs w:val="32"/>
          <w:color w:val="auto"/>
        </w:rPr>
        <w:t>（良好）、</w:t>
      </w:r>
      <w:r>
        <w:rPr>
          <w:rFonts w:ascii="Calibri" w:cs="Calibri" w:eastAsia="Calibri" w:hAnsi="Calibri"/>
          <w:sz w:val="32"/>
          <w:szCs w:val="32"/>
          <w:color w:val="auto"/>
        </w:rPr>
        <w:t>A</w:t>
      </w:r>
      <w:r>
        <w:rPr>
          <w:rFonts w:ascii="宋体" w:cs="宋体" w:eastAsia="宋体" w:hAnsi="宋体"/>
          <w:sz w:val="32"/>
          <w:szCs w:val="32"/>
          <w:color w:val="auto"/>
        </w:rPr>
        <w:t>（较好）、</w:t>
      </w:r>
      <w:r>
        <w:rPr>
          <w:rFonts w:ascii="Calibri" w:cs="Calibri" w:eastAsia="Calibri" w:hAnsi="Calibri"/>
          <w:sz w:val="32"/>
          <w:szCs w:val="32"/>
          <w:color w:val="auto"/>
        </w:rPr>
        <w:t>B</w:t>
      </w:r>
      <w:r>
        <w:rPr>
          <w:rFonts w:ascii="宋体" w:cs="宋体" w:eastAsia="宋体" w:hAnsi="宋体"/>
          <w:sz w:val="32"/>
          <w:szCs w:val="32"/>
          <w:color w:val="auto"/>
        </w:rPr>
        <w:t>（一般）、</w:t>
      </w:r>
      <w:r>
        <w:rPr>
          <w:rFonts w:ascii="Calibri" w:cs="Calibri" w:eastAsia="Calibri" w:hAnsi="Calibri"/>
          <w:sz w:val="32"/>
          <w:szCs w:val="32"/>
          <w:color w:val="auto"/>
        </w:rPr>
        <w:t>C</w:t>
      </w:r>
      <w:r>
        <w:rPr>
          <w:rFonts w:ascii="宋体" w:cs="宋体" w:eastAsia="宋体" w:hAnsi="宋体"/>
          <w:sz w:val="32"/>
          <w:szCs w:val="32"/>
          <w:color w:val="auto"/>
        </w:rPr>
        <w:t>（较差）</w:t>
      </w:r>
      <w:r>
        <w:rPr>
          <w:rFonts w:ascii="Calibri" w:cs="Calibri" w:eastAsia="Calibri" w:hAnsi="Calibri"/>
          <w:sz w:val="32"/>
          <w:szCs w:val="32"/>
          <w:color w:val="auto"/>
        </w:rPr>
        <w:t>5</w:t>
      </w:r>
      <w:r>
        <w:rPr>
          <w:rFonts w:ascii="宋体" w:cs="宋体" w:eastAsia="宋体" w:hAnsi="宋体"/>
          <w:sz w:val="32"/>
          <w:szCs w:val="32"/>
          <w:color w:val="auto"/>
        </w:rPr>
        <w:t>类。</w:t>
      </w:r>
    </w:p>
    <w:p>
      <w:pPr>
        <w:spacing w:after="0" w:line="202"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评价结果等级的具体划分标准如下：</w:t>
      </w:r>
    </w:p>
    <w:p>
      <w:pPr>
        <w:spacing w:after="0" w:line="194"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等级分值信用情况释义</w:t>
      </w:r>
    </w:p>
    <w:p>
      <w:pPr>
        <w:spacing w:after="0" w:line="208" w:lineRule="exact"/>
        <w:rPr>
          <w:sz w:val="20"/>
          <w:szCs w:val="20"/>
          <w:color w:val="auto"/>
        </w:rPr>
      </w:pPr>
    </w:p>
    <w:p>
      <w:pPr>
        <w:jc w:val="both"/>
        <w:ind w:left="1000" w:right="1806" w:firstLine="1"/>
        <w:spacing w:after="0" w:line="528" w:lineRule="exact"/>
        <w:tabs>
          <w:tab w:leader="none" w:pos="1626" w:val="left"/>
        </w:tabs>
        <w:numPr>
          <w:ilvl w:val="0"/>
          <w:numId w:val="3"/>
        </w:numPr>
        <w:rPr>
          <w:rFonts w:ascii="Calibri" w:cs="Calibri" w:eastAsia="Calibri" w:hAnsi="Calibri"/>
          <w:sz w:val="32"/>
          <w:szCs w:val="32"/>
          <w:color w:val="auto"/>
        </w:rPr>
      </w:pPr>
      <w:r>
        <w:rPr>
          <w:rFonts w:ascii="Calibri" w:cs="Calibri" w:eastAsia="Calibri" w:hAnsi="Calibri"/>
          <w:sz w:val="32"/>
          <w:szCs w:val="32"/>
          <w:color w:val="auto"/>
        </w:rPr>
        <w:t>700&lt;X</w:t>
      </w:r>
      <w:r>
        <w:rPr>
          <w:rFonts w:ascii="Arial" w:cs="Arial" w:eastAsia="Arial" w:hAnsi="Arial"/>
          <w:sz w:val="32"/>
          <w:szCs w:val="32"/>
          <w:color w:val="auto"/>
        </w:rPr>
        <w:t>≤</w:t>
      </w:r>
      <w:r>
        <w:rPr>
          <w:rFonts w:ascii="Calibri" w:cs="Calibri" w:eastAsia="Calibri" w:hAnsi="Calibri"/>
          <w:sz w:val="32"/>
          <w:szCs w:val="32"/>
          <w:color w:val="auto"/>
        </w:rPr>
        <w:t xml:space="preserve">950 </w:t>
      </w:r>
      <w:r>
        <w:rPr>
          <w:rFonts w:ascii="宋体" w:cs="宋体" w:eastAsia="宋体" w:hAnsi="宋体"/>
          <w:sz w:val="32"/>
          <w:szCs w:val="32"/>
          <w:color w:val="auto"/>
        </w:rPr>
        <w:t>优秀信用优秀，几乎无风险</w:t>
      </w:r>
      <w:r>
        <w:rPr>
          <w:rFonts w:ascii="Calibri" w:cs="Calibri" w:eastAsia="Calibri" w:hAnsi="Calibri"/>
          <w:sz w:val="32"/>
          <w:szCs w:val="32"/>
          <w:color w:val="auto"/>
        </w:rPr>
        <w:t xml:space="preserve"> AA 650&lt;X</w:t>
      </w:r>
      <w:r>
        <w:rPr>
          <w:rFonts w:ascii="Arial" w:cs="Arial" w:eastAsia="Arial" w:hAnsi="Arial"/>
          <w:sz w:val="32"/>
          <w:szCs w:val="32"/>
          <w:color w:val="auto"/>
        </w:rPr>
        <w:t>≤</w:t>
      </w:r>
      <w:r>
        <w:rPr>
          <w:rFonts w:ascii="Calibri" w:cs="Calibri" w:eastAsia="Calibri" w:hAnsi="Calibri"/>
          <w:sz w:val="32"/>
          <w:szCs w:val="32"/>
          <w:color w:val="auto"/>
        </w:rPr>
        <w:t xml:space="preserve">700 </w:t>
      </w:r>
      <w:r>
        <w:rPr>
          <w:rFonts w:ascii="宋体" w:cs="宋体" w:eastAsia="宋体" w:hAnsi="宋体"/>
          <w:sz w:val="32"/>
          <w:szCs w:val="32"/>
          <w:color w:val="auto"/>
        </w:rPr>
        <w:t>良好信用良好，基本无风险</w:t>
      </w:r>
      <w:r>
        <w:rPr>
          <w:rFonts w:ascii="Calibri" w:cs="Calibri" w:eastAsia="Calibri" w:hAnsi="Calibri"/>
          <w:sz w:val="32"/>
          <w:szCs w:val="32"/>
          <w:color w:val="auto"/>
        </w:rPr>
        <w:t xml:space="preserve"> A 600&lt;X</w:t>
      </w:r>
      <w:r>
        <w:rPr>
          <w:rFonts w:ascii="Arial" w:cs="Arial" w:eastAsia="Arial" w:hAnsi="Arial"/>
          <w:sz w:val="32"/>
          <w:szCs w:val="32"/>
          <w:color w:val="auto"/>
        </w:rPr>
        <w:t>≤</w:t>
      </w:r>
      <w:r>
        <w:rPr>
          <w:rFonts w:ascii="Calibri" w:cs="Calibri" w:eastAsia="Calibri" w:hAnsi="Calibri"/>
          <w:sz w:val="32"/>
          <w:szCs w:val="32"/>
          <w:color w:val="auto"/>
        </w:rPr>
        <w:t xml:space="preserve">650 </w:t>
      </w:r>
      <w:r>
        <w:rPr>
          <w:rFonts w:ascii="宋体" w:cs="宋体" w:eastAsia="宋体" w:hAnsi="宋体"/>
          <w:sz w:val="32"/>
          <w:szCs w:val="32"/>
          <w:color w:val="auto"/>
        </w:rPr>
        <w:t>较好信用较好，有较小风险</w:t>
      </w:r>
      <w:r>
        <w:rPr>
          <w:rFonts w:ascii="Calibri" w:cs="Calibri" w:eastAsia="Calibri" w:hAnsi="Calibri"/>
          <w:sz w:val="32"/>
          <w:szCs w:val="32"/>
          <w:color w:val="auto"/>
        </w:rPr>
        <w:t xml:space="preserve"> B 550&lt;X</w:t>
      </w:r>
      <w:r>
        <w:rPr>
          <w:rFonts w:ascii="Arial" w:cs="Arial" w:eastAsia="Arial" w:hAnsi="Arial"/>
          <w:sz w:val="32"/>
          <w:szCs w:val="32"/>
          <w:color w:val="auto"/>
        </w:rPr>
        <w:t>≤</w:t>
      </w:r>
      <w:r>
        <w:rPr>
          <w:rFonts w:ascii="Calibri" w:cs="Calibri" w:eastAsia="Calibri" w:hAnsi="Calibri"/>
          <w:sz w:val="32"/>
          <w:szCs w:val="32"/>
          <w:color w:val="auto"/>
        </w:rPr>
        <w:t xml:space="preserve">600 </w:t>
      </w:r>
      <w:r>
        <w:rPr>
          <w:rFonts w:ascii="宋体" w:cs="宋体" w:eastAsia="宋体" w:hAnsi="宋体"/>
          <w:sz w:val="32"/>
          <w:szCs w:val="32"/>
          <w:color w:val="auto"/>
        </w:rPr>
        <w:t>一般信用一般，有一定风险</w:t>
      </w:r>
      <w:r>
        <w:rPr>
          <w:rFonts w:ascii="Calibri" w:cs="Calibri" w:eastAsia="Calibri" w:hAnsi="Calibri"/>
          <w:sz w:val="32"/>
          <w:szCs w:val="32"/>
          <w:color w:val="auto"/>
        </w:rPr>
        <w:t xml:space="preserve"> C 350&lt;X</w:t>
      </w:r>
      <w:r>
        <w:rPr>
          <w:rFonts w:ascii="Arial" w:cs="Arial" w:eastAsia="Arial" w:hAnsi="Arial"/>
          <w:sz w:val="32"/>
          <w:szCs w:val="32"/>
          <w:color w:val="auto"/>
        </w:rPr>
        <w:t>≤</w:t>
      </w:r>
      <w:r>
        <w:rPr>
          <w:rFonts w:ascii="Calibri" w:cs="Calibri" w:eastAsia="Calibri" w:hAnsi="Calibri"/>
          <w:sz w:val="32"/>
          <w:szCs w:val="32"/>
          <w:color w:val="auto"/>
        </w:rPr>
        <w:t xml:space="preserve">550 </w:t>
      </w:r>
      <w:r>
        <w:rPr>
          <w:rFonts w:ascii="宋体" w:cs="宋体" w:eastAsia="宋体" w:hAnsi="宋体"/>
          <w:sz w:val="32"/>
          <w:szCs w:val="32"/>
          <w:color w:val="auto"/>
        </w:rPr>
        <w:t>较差信用较差，有较大风险</w:t>
      </w:r>
    </w:p>
    <w:p>
      <w:pPr>
        <w:spacing w:after="0" w:line="148" w:lineRule="exact"/>
        <w:rPr>
          <w:rFonts w:ascii="Calibri" w:cs="Calibri" w:eastAsia="Calibri" w:hAnsi="Calibri"/>
          <w:sz w:val="32"/>
          <w:szCs w:val="32"/>
          <w:color w:val="auto"/>
        </w:rPr>
      </w:pPr>
    </w:p>
    <w:p>
      <w:pPr>
        <w:ind w:left="1000"/>
        <w:spacing w:after="0" w:line="366" w:lineRule="exact"/>
        <w:rPr>
          <w:rFonts w:ascii="Calibri" w:cs="Calibri" w:eastAsia="Calibri" w:hAnsi="Calibri"/>
          <w:sz w:val="32"/>
          <w:szCs w:val="32"/>
          <w:color w:val="auto"/>
        </w:rPr>
      </w:pPr>
      <w:r>
        <w:rPr>
          <w:rFonts w:ascii="宋体" w:cs="宋体" w:eastAsia="宋体" w:hAnsi="宋体"/>
          <w:sz w:val="32"/>
          <w:szCs w:val="32"/>
          <w:color w:val="auto"/>
        </w:rPr>
        <w:t>第九条  根据实际需要，确定北京市文化和旅游行业信</w:t>
      </w:r>
    </w:p>
    <w:p>
      <w:pPr>
        <w:spacing w:after="0" w:line="194"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用评价结果的公开程度和公开范围，可分为如下三类：</w:t>
      </w:r>
    </w:p>
    <w:p>
      <w:pPr>
        <w:spacing w:after="0" w:line="210" w:lineRule="exact"/>
        <w:rPr>
          <w:sz w:val="20"/>
          <w:szCs w:val="20"/>
          <w:color w:val="auto"/>
        </w:rPr>
      </w:pPr>
    </w:p>
    <w:p>
      <w:pPr>
        <w:ind w:left="360" w:right="206" w:firstLine="641"/>
        <w:spacing w:after="0" w:line="455" w:lineRule="exact"/>
        <w:rPr>
          <w:sz w:val="20"/>
          <w:szCs w:val="20"/>
          <w:color w:val="auto"/>
        </w:rPr>
      </w:pPr>
      <w:r>
        <w:rPr>
          <w:rFonts w:ascii="宋体" w:cs="宋体" w:eastAsia="宋体" w:hAnsi="宋体"/>
          <w:sz w:val="32"/>
          <w:szCs w:val="32"/>
          <w:color w:val="auto"/>
        </w:rPr>
        <w:t>（</w:t>
      </w:r>
      <w:r>
        <w:rPr>
          <w:rFonts w:ascii="Calibri" w:cs="Calibri" w:eastAsia="Calibri" w:hAnsi="Calibri"/>
          <w:sz w:val="32"/>
          <w:szCs w:val="32"/>
          <w:color w:val="auto"/>
        </w:rPr>
        <w:t>1</w:t>
      </w:r>
      <w:r>
        <w:rPr>
          <w:rFonts w:ascii="宋体" w:cs="宋体" w:eastAsia="宋体" w:hAnsi="宋体"/>
          <w:sz w:val="32"/>
          <w:szCs w:val="32"/>
          <w:color w:val="auto"/>
        </w:rPr>
        <w:t>）完全公开的，遵循国家相关法律法规和行业规定，通过北京市文化和旅游行业信用信息网向社会公开；</w:t>
      </w:r>
    </w:p>
    <w:p>
      <w:pPr>
        <w:spacing w:after="0" w:line="206" w:lineRule="exact"/>
        <w:rPr>
          <w:sz w:val="20"/>
          <w:szCs w:val="20"/>
          <w:color w:val="auto"/>
        </w:rPr>
      </w:pPr>
    </w:p>
    <w:p>
      <w:pPr>
        <w:ind w:left="1000"/>
        <w:spacing w:after="0" w:line="406" w:lineRule="exact"/>
        <w:rPr>
          <w:sz w:val="20"/>
          <w:szCs w:val="20"/>
          <w:color w:val="auto"/>
        </w:rPr>
      </w:pPr>
      <w:r>
        <w:rPr>
          <w:rFonts w:ascii="宋体" w:cs="宋体" w:eastAsia="宋体" w:hAnsi="宋体"/>
          <w:sz w:val="32"/>
          <w:szCs w:val="32"/>
          <w:color w:val="auto"/>
        </w:rPr>
        <w:t>（</w:t>
      </w:r>
      <w:r>
        <w:rPr>
          <w:rFonts w:ascii="Calibri" w:cs="Calibri" w:eastAsia="Calibri" w:hAnsi="Calibri"/>
          <w:sz w:val="32"/>
          <w:szCs w:val="32"/>
          <w:color w:val="auto"/>
        </w:rPr>
        <w:t>2</w:t>
      </w:r>
      <w:r>
        <w:rPr>
          <w:rFonts w:ascii="宋体" w:cs="宋体" w:eastAsia="宋体" w:hAnsi="宋体"/>
          <w:sz w:val="32"/>
          <w:szCs w:val="32"/>
          <w:color w:val="auto"/>
        </w:rPr>
        <w:t>）依授权公开的，仅限向被授权的主体披露信用评</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ind w:left="4380"/>
        <w:spacing w:after="0" w:line="308" w:lineRule="exact"/>
        <w:rPr>
          <w:sz w:val="20"/>
          <w:szCs w:val="20"/>
          <w:color w:val="auto"/>
        </w:rPr>
      </w:pPr>
      <w:r>
        <w:rPr>
          <w:rFonts w:ascii="宋体" w:cs="宋体" w:eastAsia="宋体" w:hAnsi="宋体"/>
          <w:sz w:val="27"/>
          <w:szCs w:val="27"/>
          <w:color w:val="auto"/>
        </w:rPr>
        <w:t>- 54 -</w:t>
      </w:r>
    </w:p>
    <w:p>
      <w:pPr>
        <w:sectPr>
          <w:pgSz w:w="11900" w:h="16838" w:orient="portrait"/>
          <w:cols w:equalWidth="0" w:num="1">
            <w:col w:w="9026"/>
          </w:cols>
          <w:pgMar w:left="1440" w:top="1440" w:right="1440" w:bottom="500" w:gutter="0" w:footer="0" w:header="0"/>
          <w:type w:val="continuous"/>
        </w:sectPr>
      </w:pPr>
    </w:p>
    <w:bookmarkStart w:id="56" w:name="page57"/>
    <w:bookmarkEnd w:id="56"/>
    <w:p>
      <w:pPr>
        <w:spacing w:after="0" w:line="12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价结果；</w:t>
      </w:r>
    </w:p>
    <w:p>
      <w:pPr>
        <w:spacing w:after="0" w:line="208" w:lineRule="exact"/>
        <w:rPr>
          <w:sz w:val="20"/>
          <w:szCs w:val="20"/>
          <w:color w:val="auto"/>
        </w:rPr>
      </w:pPr>
    </w:p>
    <w:p>
      <w:pPr>
        <w:jc w:val="both"/>
        <w:ind w:left="360" w:right="366" w:firstLine="641"/>
        <w:spacing w:after="0" w:line="455" w:lineRule="exact"/>
        <w:rPr>
          <w:sz w:val="20"/>
          <w:szCs w:val="20"/>
          <w:color w:val="auto"/>
        </w:rPr>
      </w:pPr>
      <w:r>
        <w:rPr>
          <w:rFonts w:ascii="宋体" w:cs="宋体" w:eastAsia="宋体" w:hAnsi="宋体"/>
          <w:sz w:val="32"/>
          <w:szCs w:val="32"/>
          <w:color w:val="auto"/>
        </w:rPr>
        <w:t>（</w:t>
      </w:r>
      <w:r>
        <w:rPr>
          <w:rFonts w:ascii="Calibri" w:cs="Calibri" w:eastAsia="Calibri" w:hAnsi="Calibri"/>
          <w:sz w:val="32"/>
          <w:szCs w:val="32"/>
          <w:color w:val="auto"/>
        </w:rPr>
        <w:t>3</w:t>
      </w:r>
      <w:r>
        <w:rPr>
          <w:rFonts w:ascii="宋体" w:cs="宋体" w:eastAsia="宋体" w:hAnsi="宋体"/>
          <w:sz w:val="32"/>
          <w:szCs w:val="32"/>
          <w:color w:val="auto"/>
        </w:rPr>
        <w:t>）内部使用的，仅限于市区文化和旅游局、文化市场综合执法机构使用，或与相关政府部门进行共享使用。</w:t>
      </w:r>
    </w:p>
    <w:p>
      <w:pPr>
        <w:spacing w:after="0" w:line="198"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第三章 信用监管</w:t>
      </w:r>
    </w:p>
    <w:p>
      <w:pPr>
        <w:spacing w:after="0" w:line="242" w:lineRule="exact"/>
        <w:rPr>
          <w:sz w:val="20"/>
          <w:szCs w:val="20"/>
          <w:color w:val="auto"/>
        </w:rPr>
      </w:pPr>
    </w:p>
    <w:p>
      <w:pPr>
        <w:jc w:val="both"/>
        <w:ind w:left="360" w:right="366" w:firstLine="641"/>
        <w:spacing w:after="0" w:line="525" w:lineRule="exact"/>
        <w:rPr>
          <w:sz w:val="20"/>
          <w:szCs w:val="20"/>
          <w:color w:val="auto"/>
        </w:rPr>
      </w:pPr>
      <w:r>
        <w:rPr>
          <w:rFonts w:ascii="宋体" w:cs="宋体" w:eastAsia="宋体" w:hAnsi="宋体"/>
          <w:sz w:val="32"/>
          <w:szCs w:val="32"/>
          <w:color w:val="auto"/>
        </w:rPr>
        <w:t>第十条 市、区文化和旅游局或者文化市场综合执法机构依据市场主体信用评价结果实施分级分类监管。对于信用较好、风险较低的市场主体和从业人员，合理降低检查比例和频次，减少对正常生产经营的影响；对于信用风险一般的市场主体和从业人员，按常规比例和频次抽查；对于违法失信、风险较高的市场主体和从业人员，适当提高检查比例和频次，依法依规实行严管和惩戒。</w:t>
      </w:r>
    </w:p>
    <w:p>
      <w:pPr>
        <w:spacing w:after="0" w:line="246" w:lineRule="exact"/>
        <w:rPr>
          <w:sz w:val="20"/>
          <w:szCs w:val="20"/>
          <w:color w:val="auto"/>
        </w:rPr>
      </w:pPr>
    </w:p>
    <w:p>
      <w:pPr>
        <w:ind w:left="360" w:right="206" w:firstLine="641"/>
        <w:spacing w:after="0" w:line="512" w:lineRule="exact"/>
        <w:rPr>
          <w:sz w:val="20"/>
          <w:szCs w:val="20"/>
          <w:color w:val="auto"/>
        </w:rPr>
      </w:pPr>
      <w:r>
        <w:rPr>
          <w:rFonts w:ascii="宋体" w:cs="宋体" w:eastAsia="宋体" w:hAnsi="宋体"/>
          <w:sz w:val="32"/>
          <w:szCs w:val="32"/>
          <w:color w:val="auto"/>
        </w:rPr>
        <w:t>第十一条 信用承诺纳入市场主体和从业人员信用记录，作为事中事后监管、实施行业信用分类监管的重要依据。对于承诺人未履行承诺、虚假承诺等失信行为，按轻微违诺失信、一般违诺失信和严重违诺失信划分等级，实行差异化惩戒措施。</w:t>
      </w:r>
    </w:p>
    <w:p>
      <w:pPr>
        <w:spacing w:after="0" w:line="246" w:lineRule="exact"/>
        <w:rPr>
          <w:sz w:val="20"/>
          <w:szCs w:val="20"/>
          <w:color w:val="auto"/>
        </w:rPr>
      </w:pPr>
    </w:p>
    <w:p>
      <w:pPr>
        <w:jc w:val="both"/>
        <w:ind w:left="360" w:right="366" w:firstLine="641"/>
        <w:spacing w:after="0" w:line="529" w:lineRule="exact"/>
        <w:rPr>
          <w:sz w:val="20"/>
          <w:szCs w:val="20"/>
          <w:color w:val="auto"/>
        </w:rPr>
      </w:pPr>
      <w:r>
        <w:rPr>
          <w:rFonts w:ascii="宋体" w:cs="宋体" w:eastAsia="宋体" w:hAnsi="宋体"/>
          <w:sz w:val="31"/>
          <w:szCs w:val="31"/>
          <w:color w:val="auto"/>
        </w:rPr>
        <w:t>承诺人轻微违诺失信行为信息，通过北京市旅游行业信用监管平台纳入北京市公共信用信息服务平台，只记录不公示；一般违诺失信行为信息，通过北京市旅游行业信用监管平台纳入北京市公共信用信息服务平台并对外公示，最短公示期为一个月，最长公示期为六个月；严重违诺失信行为信息，通过北京市旅游行业信用监管平台纳入北京市公共信用信息服务平台并对外公示，最短公示期六个月，最长公示期为一年。公示期届满的违诺失信信息不再公示，未履行违诺</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ind w:left="4380"/>
        <w:spacing w:after="0" w:line="308" w:lineRule="exact"/>
        <w:rPr>
          <w:sz w:val="20"/>
          <w:szCs w:val="20"/>
          <w:color w:val="auto"/>
        </w:rPr>
      </w:pPr>
      <w:r>
        <w:rPr>
          <w:rFonts w:ascii="宋体" w:cs="宋体" w:eastAsia="宋体" w:hAnsi="宋体"/>
          <w:sz w:val="27"/>
          <w:szCs w:val="27"/>
          <w:color w:val="auto"/>
        </w:rPr>
        <w:t>- 55 -</w:t>
      </w:r>
    </w:p>
    <w:p>
      <w:pPr>
        <w:sectPr>
          <w:pgSz w:w="11900" w:h="16838" w:orient="portrait"/>
          <w:cols w:equalWidth="0" w:num="1">
            <w:col w:w="9026"/>
          </w:cols>
          <w:pgMar w:left="1440" w:top="1440" w:right="1440" w:bottom="500" w:gutter="0" w:footer="0" w:header="0"/>
          <w:type w:val="continuous"/>
        </w:sectPr>
      </w:pPr>
    </w:p>
    <w:bookmarkStart w:id="57" w:name="page58"/>
    <w:bookmarkEnd w:id="57"/>
    <w:p>
      <w:pPr>
        <w:spacing w:after="0" w:line="12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失信惩戒的除外。</w:t>
      </w:r>
    </w:p>
    <w:p>
      <w:pPr>
        <w:spacing w:after="0" w:line="208" w:lineRule="exact"/>
        <w:rPr>
          <w:sz w:val="20"/>
          <w:szCs w:val="20"/>
          <w:color w:val="auto"/>
        </w:rPr>
      </w:pPr>
    </w:p>
    <w:p>
      <w:pPr>
        <w:jc w:val="both"/>
        <w:ind w:left="360" w:right="366" w:firstLine="641"/>
        <w:spacing w:after="0" w:line="491" w:lineRule="exact"/>
        <w:rPr>
          <w:sz w:val="20"/>
          <w:szCs w:val="20"/>
          <w:color w:val="auto"/>
        </w:rPr>
      </w:pPr>
      <w:r>
        <w:rPr>
          <w:rFonts w:ascii="宋体" w:cs="宋体" w:eastAsia="宋体" w:hAnsi="宋体"/>
          <w:sz w:val="32"/>
          <w:szCs w:val="32"/>
          <w:color w:val="auto"/>
        </w:rPr>
        <w:t>第十二条 对于</w:t>
      </w:r>
      <w:r>
        <w:rPr>
          <w:rFonts w:ascii="Calibri" w:cs="Calibri" w:eastAsia="Calibri" w:hAnsi="Calibri"/>
          <w:sz w:val="32"/>
          <w:szCs w:val="32"/>
          <w:color w:val="auto"/>
        </w:rPr>
        <w:t xml:space="preserve"> AAA </w:t>
      </w:r>
      <w:r>
        <w:rPr>
          <w:rFonts w:ascii="宋体" w:cs="宋体" w:eastAsia="宋体" w:hAnsi="宋体"/>
          <w:sz w:val="32"/>
          <w:szCs w:val="32"/>
          <w:color w:val="auto"/>
        </w:rPr>
        <w:t>级和</w:t>
      </w:r>
      <w:r>
        <w:rPr>
          <w:rFonts w:ascii="Calibri" w:cs="Calibri" w:eastAsia="Calibri" w:hAnsi="Calibri"/>
          <w:sz w:val="32"/>
          <w:szCs w:val="32"/>
          <w:color w:val="auto"/>
        </w:rPr>
        <w:t xml:space="preserve"> AA </w:t>
      </w:r>
      <w:r>
        <w:rPr>
          <w:rFonts w:ascii="宋体" w:cs="宋体" w:eastAsia="宋体" w:hAnsi="宋体"/>
          <w:sz w:val="32"/>
          <w:szCs w:val="32"/>
          <w:color w:val="auto"/>
        </w:rPr>
        <w:t>级市场主体和从业人员，市、区文化和旅游局或者文化市场综合执法机构可以分别采取以下激励性措施，法律法规另有规定的除外：</w:t>
      </w:r>
    </w:p>
    <w:p>
      <w:pPr>
        <w:spacing w:after="0" w:line="242" w:lineRule="exact"/>
        <w:rPr>
          <w:sz w:val="20"/>
          <w:szCs w:val="20"/>
          <w:color w:val="auto"/>
        </w:rPr>
      </w:pPr>
    </w:p>
    <w:p>
      <w:pPr>
        <w:jc w:val="both"/>
        <w:ind w:left="360" w:right="366" w:firstLine="641"/>
        <w:spacing w:after="0" w:line="438" w:lineRule="exact"/>
        <w:rPr>
          <w:sz w:val="20"/>
          <w:szCs w:val="20"/>
          <w:color w:val="auto"/>
        </w:rPr>
      </w:pPr>
      <w:r>
        <w:rPr>
          <w:rFonts w:ascii="宋体" w:cs="宋体" w:eastAsia="宋体" w:hAnsi="宋体"/>
          <w:sz w:val="32"/>
          <w:szCs w:val="32"/>
          <w:color w:val="auto"/>
        </w:rPr>
        <w:t>（一）在对其办理文化和旅游行业的行政许可事项时可根据实际情况提供</w:t>
      </w:r>
      <w:r>
        <w:rPr>
          <w:rFonts w:ascii="Arial" w:cs="Arial" w:eastAsia="Arial" w:hAnsi="Arial"/>
          <w:sz w:val="32"/>
          <w:szCs w:val="32"/>
          <w:color w:val="auto"/>
        </w:rPr>
        <w:t>“</w:t>
      </w:r>
      <w:r>
        <w:rPr>
          <w:rFonts w:ascii="宋体" w:cs="宋体" w:eastAsia="宋体" w:hAnsi="宋体"/>
          <w:sz w:val="32"/>
          <w:szCs w:val="32"/>
          <w:color w:val="auto"/>
        </w:rPr>
        <w:t>容缺受理</w:t>
      </w:r>
      <w:r>
        <w:rPr>
          <w:rFonts w:ascii="Arial" w:cs="Arial" w:eastAsia="Arial" w:hAnsi="Arial"/>
          <w:sz w:val="32"/>
          <w:szCs w:val="32"/>
          <w:color w:val="auto"/>
        </w:rPr>
        <w:t>”</w:t>
      </w:r>
      <w:r>
        <w:rPr>
          <w:rFonts w:ascii="宋体" w:cs="宋体" w:eastAsia="宋体" w:hAnsi="宋体"/>
          <w:sz w:val="32"/>
          <w:szCs w:val="32"/>
          <w:color w:val="auto"/>
        </w:rPr>
        <w:t>等便利服务措施；</w:t>
      </w:r>
    </w:p>
    <w:p>
      <w:pPr>
        <w:spacing w:after="0" w:line="246" w:lineRule="exact"/>
        <w:rPr>
          <w:sz w:val="20"/>
          <w:szCs w:val="20"/>
          <w:color w:val="auto"/>
        </w:rPr>
      </w:pPr>
    </w:p>
    <w:p>
      <w:pPr>
        <w:jc w:val="both"/>
        <w:ind w:left="360" w:right="366" w:firstLine="641"/>
        <w:spacing w:after="0" w:line="437" w:lineRule="exact"/>
        <w:rPr>
          <w:sz w:val="20"/>
          <w:szCs w:val="20"/>
          <w:color w:val="auto"/>
        </w:rPr>
      </w:pPr>
      <w:r>
        <w:rPr>
          <w:rFonts w:ascii="宋体" w:cs="宋体" w:eastAsia="宋体" w:hAnsi="宋体"/>
          <w:sz w:val="32"/>
          <w:szCs w:val="32"/>
          <w:color w:val="auto"/>
        </w:rPr>
        <w:t>（二）在其申请财政性资金项目以及实施政府各类优惠政策中，优先考虑和扶持；</w:t>
      </w:r>
    </w:p>
    <w:p>
      <w:pPr>
        <w:spacing w:after="0" w:line="197"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（三）在信用便民惠企应用中优先予以推荐；</w:t>
      </w:r>
    </w:p>
    <w:p>
      <w:pPr>
        <w:spacing w:after="0" w:line="245" w:lineRule="exact"/>
        <w:rPr>
          <w:sz w:val="20"/>
          <w:szCs w:val="20"/>
          <w:color w:val="auto"/>
        </w:rPr>
      </w:pPr>
    </w:p>
    <w:p>
      <w:pPr>
        <w:jc w:val="both"/>
        <w:ind w:left="360" w:right="366" w:firstLine="641"/>
        <w:spacing w:after="0" w:line="437" w:lineRule="exact"/>
        <w:rPr>
          <w:sz w:val="20"/>
          <w:szCs w:val="20"/>
          <w:color w:val="auto"/>
        </w:rPr>
      </w:pPr>
      <w:r>
        <w:rPr>
          <w:rFonts w:ascii="宋体" w:cs="宋体" w:eastAsia="宋体" w:hAnsi="宋体"/>
          <w:sz w:val="32"/>
          <w:szCs w:val="32"/>
          <w:color w:val="auto"/>
        </w:rPr>
        <w:t>（四）在文化和旅游部门组织的评优评奖或大型展览展示、组织保障等活动中，优先予以推荐；</w:t>
      </w:r>
    </w:p>
    <w:p>
      <w:pPr>
        <w:spacing w:after="0" w:line="209" w:lineRule="exact"/>
        <w:rPr>
          <w:sz w:val="20"/>
          <w:szCs w:val="20"/>
          <w:color w:val="auto"/>
        </w:rPr>
      </w:pPr>
    </w:p>
    <w:p>
      <w:pPr>
        <w:ind w:left="1000"/>
        <w:spacing w:after="0" w:line="354" w:lineRule="exact"/>
        <w:rPr>
          <w:sz w:val="20"/>
          <w:szCs w:val="20"/>
          <w:color w:val="auto"/>
        </w:rPr>
      </w:pPr>
      <w:r>
        <w:rPr>
          <w:rFonts w:ascii="宋体" w:cs="宋体" w:eastAsia="宋体" w:hAnsi="宋体"/>
          <w:sz w:val="31"/>
          <w:szCs w:val="31"/>
          <w:color w:val="auto"/>
        </w:rPr>
        <w:t>（五）引导金融、商业等市场服务机构给予优惠和便利；</w:t>
      </w:r>
    </w:p>
    <w:p>
      <w:pPr>
        <w:spacing w:after="0" w:line="245" w:lineRule="exact"/>
        <w:rPr>
          <w:sz w:val="20"/>
          <w:szCs w:val="20"/>
          <w:color w:val="auto"/>
        </w:rPr>
      </w:pPr>
    </w:p>
    <w:p>
      <w:pPr>
        <w:jc w:val="both"/>
        <w:ind w:left="360" w:right="366" w:firstLine="641"/>
        <w:spacing w:after="0" w:line="437" w:lineRule="exact"/>
        <w:rPr>
          <w:sz w:val="20"/>
          <w:szCs w:val="20"/>
          <w:color w:val="auto"/>
        </w:rPr>
      </w:pPr>
      <w:r>
        <w:rPr>
          <w:rFonts w:ascii="宋体" w:cs="宋体" w:eastAsia="宋体" w:hAnsi="宋体"/>
          <w:sz w:val="32"/>
          <w:szCs w:val="32"/>
          <w:color w:val="auto"/>
        </w:rPr>
        <w:t>（六）鼓励行业协会等社会组织加大扶持力度，为其市场宣传、业务拓展、职业发展等提供支持；</w:t>
      </w:r>
    </w:p>
    <w:p>
      <w:pPr>
        <w:spacing w:after="0" w:line="197"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（七）国家或地方规定的其他激励性措施。</w:t>
      </w:r>
    </w:p>
    <w:p>
      <w:pPr>
        <w:spacing w:after="0" w:line="210" w:lineRule="exact"/>
        <w:rPr>
          <w:sz w:val="20"/>
          <w:szCs w:val="20"/>
          <w:color w:val="auto"/>
        </w:rPr>
      </w:pPr>
    </w:p>
    <w:p>
      <w:pPr>
        <w:jc w:val="both"/>
        <w:ind w:left="360" w:right="326" w:firstLine="641"/>
        <w:spacing w:after="0" w:line="490" w:lineRule="exact"/>
        <w:rPr>
          <w:sz w:val="20"/>
          <w:szCs w:val="20"/>
          <w:color w:val="auto"/>
        </w:rPr>
      </w:pPr>
      <w:r>
        <w:rPr>
          <w:rFonts w:ascii="宋体" w:cs="宋体" w:eastAsia="宋体" w:hAnsi="宋体"/>
          <w:sz w:val="32"/>
          <w:szCs w:val="32"/>
          <w:color w:val="auto"/>
        </w:rPr>
        <w:t>第十三条 对于</w:t>
      </w:r>
      <w:r>
        <w:rPr>
          <w:rFonts w:ascii="Calibri" w:cs="Calibri" w:eastAsia="Calibri" w:hAnsi="Calibri"/>
          <w:sz w:val="32"/>
          <w:szCs w:val="32"/>
          <w:color w:val="auto"/>
        </w:rPr>
        <w:t xml:space="preserve"> B </w:t>
      </w:r>
      <w:r>
        <w:rPr>
          <w:rFonts w:ascii="宋体" w:cs="宋体" w:eastAsia="宋体" w:hAnsi="宋体"/>
          <w:sz w:val="32"/>
          <w:szCs w:val="32"/>
          <w:color w:val="auto"/>
        </w:rPr>
        <w:t>级和</w:t>
      </w:r>
      <w:r>
        <w:rPr>
          <w:rFonts w:ascii="Calibri" w:cs="Calibri" w:eastAsia="Calibri" w:hAnsi="Calibri"/>
          <w:sz w:val="32"/>
          <w:szCs w:val="32"/>
          <w:color w:val="auto"/>
        </w:rPr>
        <w:t xml:space="preserve"> C </w:t>
      </w:r>
      <w:r>
        <w:rPr>
          <w:rFonts w:ascii="宋体" w:cs="宋体" w:eastAsia="宋体" w:hAnsi="宋体"/>
          <w:sz w:val="32"/>
          <w:szCs w:val="32"/>
          <w:color w:val="auto"/>
        </w:rPr>
        <w:t>级市场主体和从业人员，市、区文化和旅游局或者文化市场综合执法机构可以分别采取以下惩戒性措施，法律法规另有规定的除外：</w:t>
      </w:r>
    </w:p>
    <w:p>
      <w:pPr>
        <w:spacing w:after="0" w:line="19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w w:val="99"/>
        </w:rPr>
        <w:t>（一）从严审核文化和旅游行业的行政许可申请事项；</w:t>
      </w:r>
    </w:p>
    <w:p>
      <w:pPr>
        <w:spacing w:after="0" w:line="242" w:lineRule="exact"/>
        <w:rPr>
          <w:sz w:val="20"/>
          <w:szCs w:val="20"/>
          <w:color w:val="auto"/>
        </w:rPr>
      </w:pPr>
    </w:p>
    <w:p>
      <w:pPr>
        <w:ind w:left="360" w:right="366" w:firstLine="641"/>
        <w:spacing w:after="0" w:line="437" w:lineRule="exact"/>
        <w:rPr>
          <w:sz w:val="20"/>
          <w:szCs w:val="20"/>
          <w:color w:val="auto"/>
        </w:rPr>
      </w:pPr>
      <w:r>
        <w:rPr>
          <w:rFonts w:ascii="宋体" w:cs="宋体" w:eastAsia="宋体" w:hAnsi="宋体"/>
          <w:sz w:val="32"/>
          <w:szCs w:val="32"/>
          <w:color w:val="auto"/>
        </w:rPr>
        <w:t>（二）通过北京市文化和旅游行业信用信息网进行信用预警公示；</w:t>
      </w:r>
    </w:p>
    <w:p>
      <w:pPr>
        <w:spacing w:after="0" w:line="248" w:lineRule="exact"/>
        <w:rPr>
          <w:sz w:val="20"/>
          <w:szCs w:val="20"/>
          <w:color w:val="auto"/>
        </w:rPr>
      </w:pPr>
    </w:p>
    <w:p>
      <w:pPr>
        <w:ind w:left="360" w:right="366" w:firstLine="641"/>
        <w:spacing w:after="0" w:line="437" w:lineRule="exact"/>
        <w:rPr>
          <w:sz w:val="20"/>
          <w:szCs w:val="20"/>
          <w:color w:val="auto"/>
        </w:rPr>
      </w:pPr>
      <w:r>
        <w:rPr>
          <w:rFonts w:ascii="宋体" w:cs="宋体" w:eastAsia="宋体" w:hAnsi="宋体"/>
          <w:sz w:val="32"/>
          <w:szCs w:val="32"/>
          <w:color w:val="auto"/>
        </w:rPr>
        <w:t>（三）在文化和旅游主管部门组织的评优评奖或大型展览展示、组织保障等活动中，暂缓推荐；</w:t>
      </w:r>
    </w:p>
    <w:p>
      <w:pPr>
        <w:spacing w:after="0" w:line="197"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（四）国家或地方规定的其他惩戒性措施。</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ind w:left="4380"/>
        <w:spacing w:after="0" w:line="308" w:lineRule="exact"/>
        <w:rPr>
          <w:sz w:val="20"/>
          <w:szCs w:val="20"/>
          <w:color w:val="auto"/>
        </w:rPr>
      </w:pPr>
      <w:r>
        <w:rPr>
          <w:rFonts w:ascii="宋体" w:cs="宋体" w:eastAsia="宋体" w:hAnsi="宋体"/>
          <w:sz w:val="27"/>
          <w:szCs w:val="27"/>
          <w:color w:val="auto"/>
        </w:rPr>
        <w:t>- 56 -</w:t>
      </w:r>
    </w:p>
    <w:p>
      <w:pPr>
        <w:sectPr>
          <w:pgSz w:w="11900" w:h="16838" w:orient="portrait"/>
          <w:cols w:equalWidth="0" w:num="1">
            <w:col w:w="9026"/>
          </w:cols>
          <w:pgMar w:left="1440" w:top="1440" w:right="1440" w:bottom="500" w:gutter="0" w:footer="0" w:header="0"/>
          <w:type w:val="continuous"/>
        </w:sectPr>
      </w:pPr>
    </w:p>
    <w:bookmarkStart w:id="58" w:name="page59"/>
    <w:bookmarkEnd w:id="58"/>
    <w:p>
      <w:pPr>
        <w:spacing w:after="0" w:line="177" w:lineRule="exact"/>
        <w:rPr>
          <w:sz w:val="20"/>
          <w:szCs w:val="20"/>
          <w:color w:val="auto"/>
        </w:rPr>
      </w:pPr>
    </w:p>
    <w:p>
      <w:pPr>
        <w:jc w:val="both"/>
        <w:ind w:left="360" w:right="346" w:firstLine="641"/>
        <w:spacing w:after="0" w:line="525" w:lineRule="exact"/>
        <w:rPr>
          <w:sz w:val="20"/>
          <w:szCs w:val="20"/>
          <w:color w:val="auto"/>
        </w:rPr>
      </w:pPr>
      <w:r>
        <w:rPr>
          <w:rFonts w:ascii="宋体" w:cs="宋体" w:eastAsia="宋体" w:hAnsi="宋体"/>
          <w:sz w:val="32"/>
          <w:szCs w:val="32"/>
          <w:color w:val="auto"/>
        </w:rPr>
        <w:t>第十四条 北京市文化和旅游局按照相关规定将市场主体行业信用评价结果共享给北京市大数据管理部门、北京市信用主管部门以及开展联合奖惩的相关部门，推动文化和旅游行业信用评价结果在行政许可、招标投标、政府采购、评优创先、金融服务、资质认定、财政补贴等工作中的广泛应用，促进文化和旅游行业市场主体和从业人员加强信用管理、提升诚信意识。</w:t>
      </w:r>
    </w:p>
    <w:p>
      <w:pPr>
        <w:spacing w:after="0" w:line="198"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第四章 权益保护</w:t>
      </w:r>
    </w:p>
    <w:p>
      <w:pPr>
        <w:spacing w:after="0" w:line="242" w:lineRule="exact"/>
        <w:rPr>
          <w:sz w:val="20"/>
          <w:szCs w:val="20"/>
          <w:color w:val="auto"/>
        </w:rPr>
      </w:pPr>
    </w:p>
    <w:p>
      <w:pPr>
        <w:jc w:val="both"/>
        <w:ind w:left="360" w:right="366" w:firstLine="641"/>
        <w:spacing w:after="0" w:line="480" w:lineRule="exact"/>
        <w:rPr>
          <w:sz w:val="20"/>
          <w:szCs w:val="20"/>
          <w:color w:val="auto"/>
        </w:rPr>
      </w:pPr>
      <w:r>
        <w:rPr>
          <w:rFonts w:ascii="宋体" w:cs="宋体" w:eastAsia="宋体" w:hAnsi="宋体"/>
          <w:sz w:val="32"/>
          <w:szCs w:val="32"/>
          <w:color w:val="auto"/>
        </w:rPr>
        <w:t>第十五条 文化和旅游行业市场主体和从业人员对其公共信用信息有异议的，可向北京市文化和旅游局提出异议复核申请，并提供相关证明材料。</w:t>
      </w:r>
    </w:p>
    <w:p>
      <w:pPr>
        <w:spacing w:after="0" w:line="243" w:lineRule="exact"/>
        <w:rPr>
          <w:sz w:val="20"/>
          <w:szCs w:val="20"/>
          <w:color w:val="auto"/>
        </w:rPr>
      </w:pPr>
    </w:p>
    <w:p>
      <w:pPr>
        <w:jc w:val="both"/>
        <w:ind w:left="360" w:right="366" w:firstLine="641"/>
        <w:spacing w:after="0" w:line="479" w:lineRule="exact"/>
        <w:rPr>
          <w:sz w:val="20"/>
          <w:szCs w:val="20"/>
          <w:color w:val="auto"/>
        </w:rPr>
      </w:pPr>
      <w:r>
        <w:rPr>
          <w:rFonts w:ascii="宋体" w:cs="宋体" w:eastAsia="宋体" w:hAnsi="宋体"/>
          <w:sz w:val="32"/>
          <w:szCs w:val="32"/>
          <w:color w:val="auto"/>
        </w:rPr>
        <w:t>北京市文化和旅游局应当在收到市场主体和从业人员异议复核申请之日起</w:t>
      </w:r>
      <w:r>
        <w:rPr>
          <w:rFonts w:ascii="Calibri" w:cs="Calibri" w:eastAsia="Calibri" w:hAnsi="Calibri"/>
          <w:sz w:val="32"/>
          <w:szCs w:val="32"/>
          <w:color w:val="auto"/>
        </w:rPr>
        <w:t xml:space="preserve"> 7 </w:t>
      </w:r>
      <w:r>
        <w:rPr>
          <w:rFonts w:ascii="宋体" w:cs="宋体" w:eastAsia="宋体" w:hAnsi="宋体"/>
          <w:sz w:val="32"/>
          <w:szCs w:val="32"/>
          <w:color w:val="auto"/>
        </w:rPr>
        <w:t>个工作日内完成信用数据核查，并将核查结果告知市场主体。</w:t>
      </w:r>
    </w:p>
    <w:p>
      <w:pPr>
        <w:spacing w:after="0" w:line="244" w:lineRule="exact"/>
        <w:rPr>
          <w:sz w:val="20"/>
          <w:szCs w:val="20"/>
          <w:color w:val="auto"/>
        </w:rPr>
      </w:pPr>
    </w:p>
    <w:p>
      <w:pPr>
        <w:jc w:val="both"/>
        <w:ind w:left="360" w:right="366" w:firstLine="641"/>
        <w:spacing w:after="0" w:line="499" w:lineRule="exact"/>
        <w:rPr>
          <w:sz w:val="20"/>
          <w:szCs w:val="20"/>
          <w:color w:val="auto"/>
        </w:rPr>
      </w:pPr>
      <w:r>
        <w:rPr>
          <w:rFonts w:ascii="宋体" w:cs="宋体" w:eastAsia="宋体" w:hAnsi="宋体"/>
          <w:sz w:val="32"/>
          <w:szCs w:val="32"/>
          <w:color w:val="auto"/>
        </w:rPr>
        <w:t>第十六条 市场主体和从业人员主动纠正失信行为、消除不良影响后，可以通过</w:t>
      </w:r>
      <w:r>
        <w:rPr>
          <w:rFonts w:ascii="Arial" w:cs="Arial" w:eastAsia="Arial" w:hAnsi="Arial"/>
          <w:sz w:val="32"/>
          <w:szCs w:val="32"/>
          <w:color w:val="auto"/>
        </w:rPr>
        <w:t>“</w:t>
      </w:r>
      <w:r>
        <w:rPr>
          <w:rFonts w:ascii="宋体" w:cs="宋体" w:eastAsia="宋体" w:hAnsi="宋体"/>
          <w:sz w:val="32"/>
          <w:szCs w:val="32"/>
          <w:color w:val="auto"/>
        </w:rPr>
        <w:t>信用中国（北京）</w:t>
      </w:r>
      <w:r>
        <w:rPr>
          <w:rFonts w:ascii="Arial" w:cs="Arial" w:eastAsia="Arial" w:hAnsi="Arial"/>
          <w:sz w:val="32"/>
          <w:szCs w:val="32"/>
          <w:color w:val="auto"/>
        </w:rPr>
        <w:t>”</w:t>
      </w:r>
      <w:r>
        <w:rPr>
          <w:rFonts w:ascii="宋体" w:cs="宋体" w:eastAsia="宋体" w:hAnsi="宋体"/>
          <w:sz w:val="32"/>
          <w:szCs w:val="32"/>
          <w:color w:val="auto"/>
        </w:rPr>
        <w:t>网站向信息提供单位申请信用修复，经审查符合信用修复条件的，不再公示失信信息。</w:t>
      </w:r>
    </w:p>
    <w:p>
      <w:pPr>
        <w:spacing w:after="0" w:line="247" w:lineRule="exact"/>
        <w:rPr>
          <w:sz w:val="20"/>
          <w:szCs w:val="20"/>
          <w:color w:val="auto"/>
        </w:rPr>
      </w:pPr>
    </w:p>
    <w:p>
      <w:pPr>
        <w:jc w:val="both"/>
        <w:ind w:left="360" w:right="366" w:firstLine="641"/>
        <w:spacing w:after="0" w:line="437" w:lineRule="exact"/>
        <w:rPr>
          <w:sz w:val="20"/>
          <w:szCs w:val="20"/>
          <w:color w:val="auto"/>
        </w:rPr>
      </w:pPr>
      <w:r>
        <w:rPr>
          <w:rFonts w:ascii="宋体" w:cs="宋体" w:eastAsia="宋体" w:hAnsi="宋体"/>
          <w:sz w:val="32"/>
          <w:szCs w:val="32"/>
          <w:color w:val="auto"/>
        </w:rPr>
        <w:t>具体失信信息信用修复与异议处理办法，由北京市文化和旅游局另行制定。</w:t>
      </w:r>
    </w:p>
    <w:p>
      <w:pPr>
        <w:spacing w:after="0" w:line="197"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第五章 附则</w:t>
      </w:r>
    </w:p>
    <w:p>
      <w:pPr>
        <w:spacing w:after="0" w:line="245" w:lineRule="exact"/>
        <w:rPr>
          <w:sz w:val="20"/>
          <w:szCs w:val="20"/>
          <w:color w:val="auto"/>
        </w:rPr>
      </w:pPr>
    </w:p>
    <w:p>
      <w:pPr>
        <w:ind w:left="360" w:right="206" w:firstLine="641"/>
        <w:spacing w:after="0" w:line="478" w:lineRule="exact"/>
        <w:rPr>
          <w:sz w:val="20"/>
          <w:szCs w:val="20"/>
          <w:color w:val="auto"/>
        </w:rPr>
      </w:pPr>
      <w:r>
        <w:rPr>
          <w:rFonts w:ascii="宋体" w:cs="宋体" w:eastAsia="宋体" w:hAnsi="宋体"/>
          <w:sz w:val="32"/>
          <w:szCs w:val="32"/>
          <w:color w:val="auto"/>
        </w:rPr>
        <w:t>第十七条 市、区文化和旅游主管部门工作人员在开展行业信用评价工作中违反本办法规定，滥用职权、徇私舞弊、玩忽职守的，依法依规追究相关责任人责任。</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ind w:left="4380"/>
        <w:spacing w:after="0" w:line="308" w:lineRule="exact"/>
        <w:rPr>
          <w:sz w:val="20"/>
          <w:szCs w:val="20"/>
          <w:color w:val="auto"/>
        </w:rPr>
      </w:pPr>
      <w:r>
        <w:rPr>
          <w:rFonts w:ascii="宋体" w:cs="宋体" w:eastAsia="宋体" w:hAnsi="宋体"/>
          <w:sz w:val="27"/>
          <w:szCs w:val="27"/>
          <w:color w:val="auto"/>
        </w:rPr>
        <w:t>- 57 -</w:t>
      </w:r>
    </w:p>
    <w:p>
      <w:pPr>
        <w:sectPr>
          <w:pgSz w:w="11900" w:h="16838" w:orient="portrait"/>
          <w:cols w:equalWidth="0" w:num="1">
            <w:col w:w="9026"/>
          </w:cols>
          <w:pgMar w:left="1440" w:top="1440" w:right="1440" w:bottom="500" w:gutter="0" w:footer="0" w:header="0"/>
          <w:type w:val="continuous"/>
        </w:sectPr>
      </w:pPr>
    </w:p>
    <w:bookmarkStart w:id="59" w:name="page60"/>
    <w:bookmarkEnd w:id="59"/>
    <w:p>
      <w:pPr>
        <w:spacing w:after="0" w:line="129" w:lineRule="exact"/>
        <w:rPr>
          <w:sz w:val="20"/>
          <w:szCs w:val="20"/>
          <w:color w:val="auto"/>
        </w:rPr>
      </w:pPr>
    </w:p>
    <w:p>
      <w:pPr>
        <w:ind w:left="1000"/>
        <w:spacing w:after="0" w:line="366" w:lineRule="exact"/>
        <w:tabs>
          <w:tab w:leader="none" w:pos="2580" w:val="left"/>
        </w:tabs>
        <w:rPr>
          <w:sz w:val="20"/>
          <w:szCs w:val="20"/>
          <w:color w:val="auto"/>
        </w:rPr>
      </w:pPr>
      <w:r>
        <w:rPr>
          <w:rFonts w:ascii="宋体" w:cs="宋体" w:eastAsia="宋体" w:hAnsi="宋体"/>
          <w:sz w:val="32"/>
          <w:szCs w:val="32"/>
          <w:color w:val="auto"/>
        </w:rPr>
        <w:t>第十八条</w:t>
        <w:tab/>
        <w:t>本办法由北京市文化和旅游局负责解释。</w:t>
      </w:r>
    </w:p>
    <w:p>
      <w:pPr>
        <w:spacing w:after="0" w:line="194" w:lineRule="exact"/>
        <w:rPr>
          <w:sz w:val="20"/>
          <w:szCs w:val="20"/>
          <w:color w:val="auto"/>
        </w:rPr>
      </w:pPr>
    </w:p>
    <w:p>
      <w:pPr>
        <w:ind w:left="1000"/>
        <w:spacing w:after="0" w:line="366" w:lineRule="exact"/>
        <w:tabs>
          <w:tab w:leader="none" w:pos="2580" w:val="left"/>
        </w:tabs>
        <w:rPr>
          <w:sz w:val="20"/>
          <w:szCs w:val="20"/>
          <w:color w:val="auto"/>
        </w:rPr>
      </w:pPr>
      <w:r>
        <w:rPr>
          <w:rFonts w:ascii="宋体" w:cs="宋体" w:eastAsia="宋体" w:hAnsi="宋体"/>
          <w:sz w:val="32"/>
          <w:szCs w:val="32"/>
          <w:color w:val="auto"/>
        </w:rPr>
        <w:t>第十九条</w:t>
        <w:tab/>
        <w:t>本办法自发布之日起实施。</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ind w:left="1660"/>
        <w:spacing w:after="0" w:line="502" w:lineRule="exact"/>
        <w:rPr>
          <w:sz w:val="20"/>
          <w:szCs w:val="20"/>
          <w:color w:val="auto"/>
        </w:rPr>
      </w:pPr>
      <w:r>
        <w:rPr>
          <w:rFonts w:ascii="宋体" w:cs="宋体" w:eastAsia="宋体" w:hAnsi="宋体"/>
          <w:sz w:val="44"/>
          <w:szCs w:val="44"/>
          <w:color w:val="auto"/>
        </w:rPr>
        <w:t>北京市生活垃圾管理条例（节选）</w:t>
      </w:r>
    </w:p>
    <w:p>
      <w:pPr>
        <w:spacing w:after="0" w:line="200" w:lineRule="exact"/>
        <w:rPr>
          <w:sz w:val="20"/>
          <w:szCs w:val="20"/>
          <w:color w:val="auto"/>
        </w:rPr>
      </w:pPr>
    </w:p>
    <w:p>
      <w:pPr>
        <w:spacing w:after="0" w:line="343" w:lineRule="exact"/>
        <w:rPr>
          <w:sz w:val="20"/>
          <w:szCs w:val="20"/>
          <w:color w:val="auto"/>
        </w:rPr>
      </w:pPr>
    </w:p>
    <w:p>
      <w:pPr>
        <w:jc w:val="both"/>
        <w:ind w:left="360" w:right="346" w:firstLine="641"/>
        <w:spacing w:after="0" w:line="512" w:lineRule="exact"/>
        <w:rPr>
          <w:sz w:val="20"/>
          <w:szCs w:val="20"/>
          <w:color w:val="auto"/>
        </w:rPr>
      </w:pPr>
      <w:r>
        <w:rPr>
          <w:rFonts w:ascii="宋体" w:cs="宋体" w:eastAsia="宋体" w:hAnsi="宋体"/>
          <w:sz w:val="32"/>
          <w:szCs w:val="32"/>
          <w:color w:val="auto"/>
        </w:rPr>
        <w:t>第六条 单位和个人应当遵守国家和本市生活垃圾管理的规定，依法履行生活垃圾产生者的责任，减少生活垃圾产生，承担生活垃圾分类义务，并有权对违反生活垃圾管理的行为进行举报。党政机关和事业单位要带头开展垃圾减量、分类工作，发挥示范引导作用。</w:t>
      </w:r>
    </w:p>
    <w:p>
      <w:pPr>
        <w:spacing w:after="0" w:line="243" w:lineRule="exact"/>
        <w:rPr>
          <w:sz w:val="20"/>
          <w:szCs w:val="20"/>
          <w:color w:val="auto"/>
        </w:rPr>
      </w:pPr>
    </w:p>
    <w:p>
      <w:pPr>
        <w:ind w:left="360" w:right="206" w:firstLine="641"/>
        <w:spacing w:after="0" w:line="512" w:lineRule="exact"/>
        <w:rPr>
          <w:sz w:val="20"/>
          <w:szCs w:val="20"/>
          <w:color w:val="auto"/>
        </w:rPr>
      </w:pPr>
      <w:r>
        <w:rPr>
          <w:rFonts w:ascii="宋体" w:cs="宋体" w:eastAsia="宋体" w:hAnsi="宋体"/>
          <w:sz w:val="32"/>
          <w:szCs w:val="32"/>
          <w:color w:val="auto"/>
        </w:rPr>
        <w:t>第五十六条 城市管理部门应当向社会公布举报和投诉电话、信箱和电子邮件地址，依法处理有关生活垃圾管理方面的举报和投诉。举报违反生活垃圾管理行为，查证属实的，对举报人给予奖励。具体办法由市城市管理部门制定并向社会公布。</w:t>
      </w:r>
    </w:p>
    <w:p>
      <w:pPr>
        <w:spacing w:after="0" w:line="246" w:lineRule="exact"/>
        <w:rPr>
          <w:sz w:val="20"/>
          <w:szCs w:val="20"/>
          <w:color w:val="auto"/>
        </w:rPr>
      </w:pPr>
    </w:p>
    <w:p>
      <w:pPr>
        <w:jc w:val="both"/>
        <w:ind w:left="360" w:right="346" w:firstLine="641"/>
        <w:spacing w:after="0" w:line="480" w:lineRule="exact"/>
        <w:rPr>
          <w:sz w:val="20"/>
          <w:szCs w:val="20"/>
          <w:color w:val="auto"/>
        </w:rPr>
      </w:pPr>
      <w:r>
        <w:rPr>
          <w:rFonts w:ascii="宋体" w:cs="宋体" w:eastAsia="宋体" w:hAnsi="宋体"/>
          <w:sz w:val="32"/>
          <w:szCs w:val="32"/>
          <w:color w:val="auto"/>
        </w:rPr>
        <w:t>第五十七条 城市管理部门应当会同有关部门建立生活垃圾监督管理和执法工作的协调配合机制，定期通报情况，实现生活垃圾监督管理信息、数据的及时互通和共享。</w:t>
      </w:r>
    </w:p>
    <w:p>
      <w:pPr>
        <w:spacing w:after="0" w:line="243" w:lineRule="exact"/>
        <w:rPr>
          <w:sz w:val="20"/>
          <w:szCs w:val="20"/>
          <w:color w:val="auto"/>
        </w:rPr>
      </w:pPr>
    </w:p>
    <w:p>
      <w:pPr>
        <w:jc w:val="both"/>
        <w:ind w:left="360" w:right="366" w:firstLine="641"/>
        <w:spacing w:after="0" w:line="437" w:lineRule="exact"/>
        <w:rPr>
          <w:sz w:val="20"/>
          <w:szCs w:val="20"/>
          <w:color w:val="auto"/>
        </w:rPr>
      </w:pPr>
      <w:r>
        <w:rPr>
          <w:rFonts w:ascii="宋体" w:cs="宋体" w:eastAsia="宋体" w:hAnsi="宋体"/>
          <w:sz w:val="32"/>
          <w:szCs w:val="32"/>
          <w:color w:val="auto"/>
        </w:rPr>
        <w:t>执法机关依照本条例有权采取以下措施，实施生活垃圾监督管理：</w:t>
      </w:r>
    </w:p>
    <w:p>
      <w:pPr>
        <w:spacing w:after="0" w:line="200"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（一）进入生产经营场所实施现场检查；</w:t>
      </w:r>
    </w:p>
    <w:p>
      <w:pPr>
        <w:spacing w:after="0" w:line="194"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（二）查阅、复制与被检查事项有关的文件、资料；</w:t>
      </w:r>
    </w:p>
    <w:p>
      <w:pPr>
        <w:spacing w:after="0" w:line="194"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w w:val="99"/>
        </w:rPr>
        <w:t>（三）对用于违法活动的设施、工具，依法予以查封、</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3" w:lineRule="exact"/>
        <w:rPr>
          <w:sz w:val="20"/>
          <w:szCs w:val="20"/>
          <w:color w:val="auto"/>
        </w:rPr>
      </w:pPr>
    </w:p>
    <w:p>
      <w:pPr>
        <w:ind w:left="4380"/>
        <w:spacing w:after="0" w:line="308" w:lineRule="exact"/>
        <w:rPr>
          <w:sz w:val="20"/>
          <w:szCs w:val="20"/>
          <w:color w:val="auto"/>
        </w:rPr>
      </w:pPr>
      <w:r>
        <w:rPr>
          <w:rFonts w:ascii="宋体" w:cs="宋体" w:eastAsia="宋体" w:hAnsi="宋体"/>
          <w:sz w:val="27"/>
          <w:szCs w:val="27"/>
          <w:color w:val="auto"/>
        </w:rPr>
        <w:t>- 58 -</w:t>
      </w:r>
    </w:p>
    <w:p>
      <w:pPr>
        <w:sectPr>
          <w:pgSz w:w="11900" w:h="16838" w:orient="portrait"/>
          <w:cols w:equalWidth="0" w:num="1">
            <w:col w:w="9026"/>
          </w:cols>
          <w:pgMar w:left="1440" w:top="1440" w:right="1440" w:bottom="500" w:gutter="0" w:footer="0" w:header="0"/>
          <w:type w:val="continuous"/>
        </w:sectPr>
      </w:pPr>
    </w:p>
    <w:bookmarkStart w:id="60" w:name="page61"/>
    <w:bookmarkEnd w:id="60"/>
    <w:p>
      <w:pPr>
        <w:spacing w:after="0" w:line="12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扣押；</w:t>
      </w:r>
    </w:p>
    <w:p>
      <w:pPr>
        <w:spacing w:after="0" w:line="242" w:lineRule="exact"/>
        <w:rPr>
          <w:sz w:val="20"/>
          <w:szCs w:val="20"/>
          <w:color w:val="auto"/>
        </w:rPr>
      </w:pPr>
    </w:p>
    <w:p>
      <w:pPr>
        <w:ind w:left="1000" w:right="346"/>
        <w:spacing w:after="0" w:line="438" w:lineRule="exact"/>
        <w:rPr>
          <w:sz w:val="20"/>
          <w:szCs w:val="20"/>
          <w:color w:val="auto"/>
        </w:rPr>
      </w:pPr>
      <w:r>
        <w:rPr>
          <w:rFonts w:ascii="宋体" w:cs="宋体" w:eastAsia="宋体" w:hAnsi="宋体"/>
          <w:sz w:val="31"/>
          <w:szCs w:val="31"/>
          <w:color w:val="auto"/>
        </w:rPr>
        <w:t>（四）为调查有关违法行为，请求公安机关予以协助。第五十八条 街道办事处和乡镇人民政府应当将生活垃</w:t>
      </w:r>
    </w:p>
    <w:p>
      <w:pPr>
        <w:spacing w:after="0" w:line="197"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圾管理纳入基层社会治理工作，加强组织协调和指导。</w:t>
      </w:r>
    </w:p>
    <w:p>
      <w:pPr>
        <w:spacing w:after="0" w:line="242" w:lineRule="exact"/>
        <w:rPr>
          <w:sz w:val="20"/>
          <w:szCs w:val="20"/>
          <w:color w:val="auto"/>
        </w:rPr>
      </w:pPr>
    </w:p>
    <w:p>
      <w:pPr>
        <w:jc w:val="both"/>
        <w:ind w:left="360" w:right="366" w:firstLine="641"/>
        <w:spacing w:after="0" w:line="498" w:lineRule="exact"/>
        <w:rPr>
          <w:sz w:val="20"/>
          <w:szCs w:val="20"/>
          <w:color w:val="auto"/>
        </w:rPr>
      </w:pPr>
      <w:r>
        <w:rPr>
          <w:rFonts w:ascii="宋体" w:cs="宋体" w:eastAsia="宋体" w:hAnsi="宋体"/>
          <w:sz w:val="31"/>
          <w:szCs w:val="31"/>
          <w:color w:val="auto"/>
        </w:rPr>
        <w:t>街道办事处和乡镇人民政府可以组织、引导辖区内的居民委员会、村民委员会将生活垃圾分类要求纳入居民公约或者村规民约，在居住区设立生活垃圾减量分类指导员，宣传生活垃圾分类知识，指导居民正确开展生活垃圾分类。</w:t>
      </w:r>
    </w:p>
    <w:p>
      <w:pPr>
        <w:spacing w:after="0" w:line="247" w:lineRule="exact"/>
        <w:rPr>
          <w:sz w:val="20"/>
          <w:szCs w:val="20"/>
          <w:color w:val="auto"/>
        </w:rPr>
      </w:pPr>
    </w:p>
    <w:p>
      <w:pPr>
        <w:jc w:val="both"/>
        <w:ind w:left="360" w:right="366" w:firstLine="641"/>
        <w:spacing w:after="0" w:line="480" w:lineRule="exact"/>
        <w:rPr>
          <w:sz w:val="20"/>
          <w:szCs w:val="20"/>
          <w:color w:val="auto"/>
        </w:rPr>
      </w:pPr>
      <w:r>
        <w:rPr>
          <w:rFonts w:ascii="宋体" w:cs="宋体" w:eastAsia="宋体" w:hAnsi="宋体"/>
          <w:sz w:val="32"/>
          <w:szCs w:val="32"/>
          <w:color w:val="auto"/>
        </w:rPr>
        <w:t>街道办事处、乡镇人民政府和生活垃圾分类管理责任人可以通过奖励、表彰、积分等方式，鼓励单位和个人开展生活垃圾减量和分类。</w:t>
      </w:r>
    </w:p>
    <w:p>
      <w:pPr>
        <w:spacing w:after="0" w:line="243" w:lineRule="exact"/>
        <w:rPr>
          <w:sz w:val="20"/>
          <w:szCs w:val="20"/>
          <w:color w:val="auto"/>
        </w:rPr>
      </w:pPr>
    </w:p>
    <w:p>
      <w:pPr>
        <w:jc w:val="both"/>
        <w:ind w:left="360" w:right="346" w:firstLine="641"/>
        <w:spacing w:after="0" w:line="499" w:lineRule="exact"/>
        <w:rPr>
          <w:sz w:val="20"/>
          <w:szCs w:val="20"/>
          <w:color w:val="auto"/>
        </w:rPr>
      </w:pPr>
      <w:r>
        <w:rPr>
          <w:rFonts w:ascii="宋体" w:cs="宋体" w:eastAsia="宋体" w:hAnsi="宋体"/>
          <w:sz w:val="32"/>
          <w:szCs w:val="32"/>
          <w:color w:val="auto"/>
        </w:rPr>
        <w:t>第五十九条 市、区人民政府及其相关部门、街道办事处、乡镇人民政府应当支持和鼓励志愿者，志愿服务组织等各类社会组织开展生活垃圾分类投放的宣传、示范等活动，参与生活垃圾治理。</w:t>
      </w:r>
    </w:p>
    <w:p>
      <w:pPr>
        <w:spacing w:after="0" w:line="246" w:lineRule="exact"/>
        <w:rPr>
          <w:sz w:val="20"/>
          <w:szCs w:val="20"/>
          <w:color w:val="auto"/>
        </w:rPr>
      </w:pPr>
    </w:p>
    <w:p>
      <w:pPr>
        <w:ind w:left="1000" w:right="366"/>
        <w:spacing w:after="0" w:line="438" w:lineRule="exact"/>
        <w:rPr>
          <w:sz w:val="20"/>
          <w:szCs w:val="20"/>
          <w:color w:val="auto"/>
        </w:rPr>
      </w:pPr>
      <w:r>
        <w:rPr>
          <w:rFonts w:ascii="宋体" w:cs="宋体" w:eastAsia="宋体" w:hAnsi="宋体"/>
          <w:sz w:val="31"/>
          <w:szCs w:val="31"/>
          <w:color w:val="auto"/>
        </w:rPr>
        <w:t>第六十条 本市实行生活垃圾处理社会监督员制度。市、区城市管理部门向社会公开选择一定数量的生活垃</w:t>
      </w:r>
    </w:p>
    <w:p>
      <w:pPr>
        <w:spacing w:after="0" w:line="243" w:lineRule="exact"/>
        <w:rPr>
          <w:sz w:val="20"/>
          <w:szCs w:val="20"/>
          <w:color w:val="auto"/>
        </w:rPr>
      </w:pPr>
    </w:p>
    <w:p>
      <w:pPr>
        <w:jc w:val="both"/>
        <w:ind w:left="360" w:right="346"/>
        <w:spacing w:after="0" w:line="519" w:lineRule="exact"/>
        <w:rPr>
          <w:sz w:val="20"/>
          <w:szCs w:val="20"/>
          <w:color w:val="auto"/>
        </w:rPr>
      </w:pPr>
      <w:r>
        <w:rPr>
          <w:rFonts w:ascii="宋体" w:cs="宋体" w:eastAsia="宋体" w:hAnsi="宋体"/>
          <w:sz w:val="32"/>
          <w:szCs w:val="32"/>
          <w:color w:val="auto"/>
        </w:rPr>
        <w:t>圾处理社会监督员，参与生活垃圾集中处理设施的监督管理工作。社会监督员中应当有生活垃圾集中处理设施周边的居民代表。社会监督员有权监督生活垃圾集中处理设施运行，进入相关场所，了解污染控制的措施及实施情况，查阅环境监测数据，并遵守相关安全管理规范。运行管理单位应当予以配合、协助。</w:t>
      </w:r>
    </w:p>
    <w:p>
      <w:pPr>
        <w:spacing w:after="0" w:line="200"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第六十一条 支持环境卫生、循环经济、物业服务、旅</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ind w:left="4380"/>
        <w:spacing w:after="0" w:line="308" w:lineRule="exact"/>
        <w:rPr>
          <w:sz w:val="20"/>
          <w:szCs w:val="20"/>
          <w:color w:val="auto"/>
        </w:rPr>
      </w:pPr>
      <w:r>
        <w:rPr>
          <w:rFonts w:ascii="宋体" w:cs="宋体" w:eastAsia="宋体" w:hAnsi="宋体"/>
          <w:sz w:val="27"/>
          <w:szCs w:val="27"/>
          <w:color w:val="auto"/>
        </w:rPr>
        <w:t>- 59 -</w:t>
      </w:r>
    </w:p>
    <w:p>
      <w:pPr>
        <w:sectPr>
          <w:pgSz w:w="11900" w:h="16838" w:orient="portrait"/>
          <w:cols w:equalWidth="0" w:num="1">
            <w:col w:w="9026"/>
          </w:cols>
          <w:pgMar w:left="1440" w:top="1440" w:right="1440" w:bottom="500" w:gutter="0" w:footer="0" w:header="0"/>
          <w:type w:val="continuous"/>
        </w:sectPr>
      </w:pPr>
    </w:p>
    <w:bookmarkStart w:id="61" w:name="page62"/>
    <w:bookmarkEnd w:id="61"/>
    <w:p>
      <w:pPr>
        <w:spacing w:after="0" w:line="177" w:lineRule="exact"/>
        <w:rPr>
          <w:sz w:val="20"/>
          <w:szCs w:val="20"/>
          <w:color w:val="auto"/>
        </w:rPr>
      </w:pPr>
    </w:p>
    <w:p>
      <w:pPr>
        <w:jc w:val="both"/>
        <w:ind w:left="360" w:right="366"/>
        <w:spacing w:after="0" w:line="478" w:lineRule="exact"/>
        <w:rPr>
          <w:sz w:val="20"/>
          <w:szCs w:val="20"/>
          <w:color w:val="auto"/>
        </w:rPr>
      </w:pPr>
      <w:r>
        <w:rPr>
          <w:rFonts w:ascii="宋体" w:cs="宋体" w:eastAsia="宋体" w:hAnsi="宋体"/>
          <w:sz w:val="32"/>
          <w:szCs w:val="32"/>
          <w:color w:val="auto"/>
        </w:rPr>
        <w:t>游旅馆、餐饮烹饪、家政服务、商业零售等相关行业协会制定行业自律规范，开展行业培训，共同参与和推进生活垃圾治理工作。</w:t>
      </w:r>
    </w:p>
    <w:p>
      <w:pPr>
        <w:spacing w:after="0" w:line="247" w:lineRule="exact"/>
        <w:rPr>
          <w:sz w:val="20"/>
          <w:szCs w:val="20"/>
          <w:color w:val="auto"/>
        </w:rPr>
      </w:pPr>
    </w:p>
    <w:p>
      <w:pPr>
        <w:jc w:val="both"/>
        <w:ind w:left="360" w:right="366" w:firstLine="641"/>
        <w:spacing w:after="0" w:line="478" w:lineRule="exact"/>
        <w:rPr>
          <w:sz w:val="20"/>
          <w:szCs w:val="20"/>
          <w:color w:val="auto"/>
        </w:rPr>
      </w:pPr>
      <w:r>
        <w:rPr>
          <w:rFonts w:ascii="宋体" w:cs="宋体" w:eastAsia="宋体" w:hAnsi="宋体"/>
          <w:sz w:val="32"/>
          <w:szCs w:val="32"/>
          <w:color w:val="auto"/>
        </w:rPr>
        <w:t>第六十二条 单位违反本条例受到行政处罚或者行政强制的，执法机关应当将相关信息共享到本市公共信用信息平台。</w:t>
      </w:r>
    </w:p>
    <w:p>
      <w:pPr>
        <w:spacing w:after="0" w:line="247" w:lineRule="exact"/>
        <w:rPr>
          <w:sz w:val="20"/>
          <w:szCs w:val="20"/>
          <w:color w:val="auto"/>
        </w:rPr>
      </w:pPr>
    </w:p>
    <w:p>
      <w:pPr>
        <w:jc w:val="both"/>
        <w:ind w:left="360" w:right="346" w:firstLine="641"/>
        <w:spacing w:after="0" w:line="533" w:lineRule="exact"/>
        <w:rPr>
          <w:sz w:val="20"/>
          <w:szCs w:val="20"/>
          <w:color w:val="auto"/>
        </w:rPr>
      </w:pPr>
      <w:r>
        <w:rPr>
          <w:rFonts w:ascii="宋体" w:cs="宋体" w:eastAsia="宋体" w:hAnsi="宋体"/>
          <w:sz w:val="32"/>
          <w:szCs w:val="32"/>
          <w:color w:val="auto"/>
        </w:rPr>
        <w:t>第六十七条 单位违反本条例第三十三条规定，由城市管理综合执法部门责令立即改正，处</w:t>
      </w:r>
      <w:r>
        <w:rPr>
          <w:rFonts w:ascii="Calibri" w:cs="Calibri" w:eastAsia="Calibri" w:hAnsi="Calibri"/>
          <w:sz w:val="32"/>
          <w:szCs w:val="32"/>
          <w:color w:val="auto"/>
        </w:rPr>
        <w:t xml:space="preserve"> 1000 </w:t>
      </w:r>
      <w:r>
        <w:rPr>
          <w:rFonts w:ascii="宋体" w:cs="宋体" w:eastAsia="宋体" w:hAnsi="宋体"/>
          <w:sz w:val="32"/>
          <w:szCs w:val="32"/>
          <w:color w:val="auto"/>
        </w:rPr>
        <w:t>元罚款；再次违反规定的，处</w:t>
      </w:r>
      <w:r>
        <w:rPr>
          <w:rFonts w:ascii="Calibri" w:cs="Calibri" w:eastAsia="Calibri" w:hAnsi="Calibri"/>
          <w:sz w:val="32"/>
          <w:szCs w:val="32"/>
          <w:color w:val="auto"/>
        </w:rPr>
        <w:t xml:space="preserve"> 1 </w:t>
      </w:r>
      <w:r>
        <w:rPr>
          <w:rFonts w:ascii="宋体" w:cs="宋体" w:eastAsia="宋体" w:hAnsi="宋体"/>
          <w:sz w:val="32"/>
          <w:szCs w:val="32"/>
          <w:color w:val="auto"/>
        </w:rPr>
        <w:t>万元以上</w:t>
      </w:r>
      <w:r>
        <w:rPr>
          <w:rFonts w:ascii="Calibri" w:cs="Calibri" w:eastAsia="Calibri" w:hAnsi="Calibri"/>
          <w:sz w:val="32"/>
          <w:szCs w:val="32"/>
          <w:color w:val="auto"/>
        </w:rPr>
        <w:t xml:space="preserve"> 5 </w:t>
      </w:r>
      <w:r>
        <w:rPr>
          <w:rFonts w:ascii="宋体" w:cs="宋体" w:eastAsia="宋体" w:hAnsi="宋体"/>
          <w:sz w:val="32"/>
          <w:szCs w:val="32"/>
          <w:color w:val="auto"/>
        </w:rPr>
        <w:t>万元以下罚款。个人违反本条例第三十三条规定，由生活垃圾分类管理责任人进行劝阻；对拒不听从劝阻的，生活垃圾分类管理责任人应当向城市管理综合执法部门报告，由城市管理综合执法部门给予书面警告；再次违反规定的，处</w:t>
      </w:r>
      <w:r>
        <w:rPr>
          <w:rFonts w:ascii="Calibri" w:cs="Calibri" w:eastAsia="Calibri" w:hAnsi="Calibri"/>
          <w:sz w:val="32"/>
          <w:szCs w:val="32"/>
          <w:color w:val="auto"/>
        </w:rPr>
        <w:t xml:space="preserve"> 50 </w:t>
      </w:r>
      <w:r>
        <w:rPr>
          <w:rFonts w:ascii="宋体" w:cs="宋体" w:eastAsia="宋体" w:hAnsi="宋体"/>
          <w:sz w:val="32"/>
          <w:szCs w:val="32"/>
          <w:color w:val="auto"/>
        </w:rPr>
        <w:t>元以上</w:t>
      </w:r>
      <w:r>
        <w:rPr>
          <w:rFonts w:ascii="Calibri" w:cs="Calibri" w:eastAsia="Calibri" w:hAnsi="Calibri"/>
          <w:sz w:val="32"/>
          <w:szCs w:val="32"/>
          <w:color w:val="auto"/>
        </w:rPr>
        <w:t xml:space="preserve"> 200 </w:t>
      </w:r>
      <w:r>
        <w:rPr>
          <w:rFonts w:ascii="宋体" w:cs="宋体" w:eastAsia="宋体" w:hAnsi="宋体"/>
          <w:sz w:val="32"/>
          <w:szCs w:val="32"/>
          <w:color w:val="auto"/>
        </w:rPr>
        <w:t>元以下罚款。</w:t>
      </w:r>
    </w:p>
    <w:p>
      <w:pPr>
        <w:spacing w:after="0" w:line="192" w:lineRule="exact"/>
        <w:rPr>
          <w:sz w:val="20"/>
          <w:szCs w:val="20"/>
          <w:color w:val="auto"/>
        </w:rPr>
      </w:pPr>
    </w:p>
    <w:p>
      <w:pPr>
        <w:jc w:val="both"/>
        <w:ind w:left="360" w:right="366" w:firstLine="641"/>
        <w:spacing w:after="0" w:line="437" w:lineRule="exact"/>
        <w:rPr>
          <w:sz w:val="20"/>
          <w:szCs w:val="20"/>
          <w:color w:val="auto"/>
        </w:rPr>
      </w:pPr>
      <w:r>
        <w:rPr>
          <w:rFonts w:ascii="宋体" w:cs="宋体" w:eastAsia="宋体" w:hAnsi="宋体"/>
          <w:sz w:val="32"/>
          <w:szCs w:val="32"/>
          <w:color w:val="auto"/>
        </w:rPr>
        <w:t>依据前款规定应当受到处罚的个人，自愿参加生活垃圾分类等社区服务活动的，不予行政处罚。</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4" w:lineRule="exact"/>
        <w:rPr>
          <w:sz w:val="20"/>
          <w:szCs w:val="20"/>
          <w:color w:val="auto"/>
        </w:rPr>
      </w:pPr>
    </w:p>
    <w:p>
      <w:pPr>
        <w:ind w:left="2100"/>
        <w:spacing w:after="0" w:line="502" w:lineRule="exact"/>
        <w:rPr>
          <w:sz w:val="20"/>
          <w:szCs w:val="20"/>
          <w:color w:val="auto"/>
        </w:rPr>
      </w:pPr>
      <w:r>
        <w:rPr>
          <w:rFonts w:ascii="宋体" w:cs="宋体" w:eastAsia="宋体" w:hAnsi="宋体"/>
          <w:sz w:val="44"/>
          <w:szCs w:val="44"/>
          <w:color w:val="auto"/>
        </w:rPr>
        <w:t>北京市物业管理条例（节选）</w:t>
      </w:r>
    </w:p>
    <w:p>
      <w:pPr>
        <w:spacing w:after="0" w:line="200" w:lineRule="exact"/>
        <w:rPr>
          <w:sz w:val="20"/>
          <w:szCs w:val="20"/>
          <w:color w:val="auto"/>
        </w:rPr>
      </w:pPr>
    </w:p>
    <w:p>
      <w:pPr>
        <w:spacing w:after="0" w:line="292"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第六条 市住房和城乡建设主管部门履行下列职责：</w:t>
      </w:r>
    </w:p>
    <w:p>
      <w:pPr>
        <w:spacing w:after="0" w:line="194"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（一）制定本市物业管理相关政策并组织实施；</w:t>
      </w:r>
    </w:p>
    <w:p>
      <w:pPr>
        <w:spacing w:after="0" w:line="245" w:lineRule="exact"/>
        <w:rPr>
          <w:sz w:val="20"/>
          <w:szCs w:val="20"/>
          <w:color w:val="auto"/>
        </w:rPr>
      </w:pPr>
    </w:p>
    <w:p>
      <w:pPr>
        <w:ind w:left="360" w:right="366" w:firstLine="641"/>
        <w:spacing w:after="0" w:line="437" w:lineRule="exact"/>
        <w:rPr>
          <w:sz w:val="20"/>
          <w:szCs w:val="20"/>
          <w:color w:val="auto"/>
        </w:rPr>
      </w:pPr>
      <w:r>
        <w:rPr>
          <w:rFonts w:ascii="宋体" w:cs="宋体" w:eastAsia="宋体" w:hAnsi="宋体"/>
          <w:sz w:val="32"/>
          <w:szCs w:val="32"/>
          <w:color w:val="auto"/>
        </w:rPr>
        <w:t>（二）指导和监督区住房和城乡建设或者房屋主管部门开展物业管理的监督管理工作；</w:t>
      </w:r>
    </w:p>
    <w:p>
      <w:pPr>
        <w:spacing w:after="0" w:line="209" w:lineRule="exact"/>
        <w:rPr>
          <w:sz w:val="20"/>
          <w:szCs w:val="20"/>
          <w:color w:val="auto"/>
        </w:rPr>
      </w:pPr>
    </w:p>
    <w:p>
      <w:pPr>
        <w:ind w:left="1000"/>
        <w:spacing w:after="0" w:line="354" w:lineRule="exact"/>
        <w:rPr>
          <w:sz w:val="20"/>
          <w:szCs w:val="20"/>
          <w:color w:val="auto"/>
        </w:rPr>
      </w:pPr>
      <w:r>
        <w:rPr>
          <w:rFonts w:ascii="宋体" w:cs="宋体" w:eastAsia="宋体" w:hAnsi="宋体"/>
          <w:sz w:val="31"/>
          <w:szCs w:val="31"/>
          <w:color w:val="auto"/>
        </w:rPr>
        <w:t>（三）指导和监督本市住宅专项维修资金的筹集、管理</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3" w:lineRule="exact"/>
        <w:rPr>
          <w:sz w:val="20"/>
          <w:szCs w:val="20"/>
          <w:color w:val="auto"/>
        </w:rPr>
      </w:pPr>
    </w:p>
    <w:p>
      <w:pPr>
        <w:ind w:left="4380"/>
        <w:spacing w:after="0" w:line="308" w:lineRule="exact"/>
        <w:rPr>
          <w:sz w:val="20"/>
          <w:szCs w:val="20"/>
          <w:color w:val="auto"/>
        </w:rPr>
      </w:pPr>
      <w:r>
        <w:rPr>
          <w:rFonts w:ascii="宋体" w:cs="宋体" w:eastAsia="宋体" w:hAnsi="宋体"/>
          <w:sz w:val="27"/>
          <w:szCs w:val="27"/>
          <w:color w:val="auto"/>
        </w:rPr>
        <w:t>- 60 -</w:t>
      </w:r>
    </w:p>
    <w:p>
      <w:pPr>
        <w:sectPr>
          <w:pgSz w:w="11900" w:h="16838" w:orient="portrait"/>
          <w:cols w:equalWidth="0" w:num="1">
            <w:col w:w="9026"/>
          </w:cols>
          <w:pgMar w:left="1440" w:top="1440" w:right="1440" w:bottom="500" w:gutter="0" w:footer="0" w:header="0"/>
          <w:type w:val="continuous"/>
        </w:sectPr>
      </w:pPr>
    </w:p>
    <w:bookmarkStart w:id="62" w:name="page63"/>
    <w:bookmarkEnd w:id="62"/>
    <w:p>
      <w:pPr>
        <w:spacing w:after="0" w:line="12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和使用；</w:t>
      </w:r>
    </w:p>
    <w:p>
      <w:pPr>
        <w:spacing w:after="0" w:line="242" w:lineRule="exact"/>
        <w:rPr>
          <w:sz w:val="20"/>
          <w:szCs w:val="20"/>
          <w:color w:val="auto"/>
        </w:rPr>
      </w:pPr>
    </w:p>
    <w:p>
      <w:pPr>
        <w:jc w:val="both"/>
        <w:ind w:left="360" w:right="366" w:firstLine="641"/>
        <w:spacing w:after="0" w:line="437" w:lineRule="exact"/>
        <w:rPr>
          <w:sz w:val="20"/>
          <w:szCs w:val="20"/>
          <w:color w:val="auto"/>
        </w:rPr>
      </w:pPr>
      <w:r>
        <w:rPr>
          <w:rFonts w:ascii="宋体" w:cs="宋体" w:eastAsia="宋体" w:hAnsi="宋体"/>
          <w:sz w:val="32"/>
          <w:szCs w:val="32"/>
          <w:color w:val="auto"/>
        </w:rPr>
        <w:t>（四）建立健全业主委员会、物业管理委员会委员培训制度；</w:t>
      </w:r>
    </w:p>
    <w:p>
      <w:pPr>
        <w:spacing w:after="0" w:line="248" w:lineRule="exact"/>
        <w:rPr>
          <w:sz w:val="20"/>
          <w:szCs w:val="20"/>
          <w:color w:val="auto"/>
        </w:rPr>
      </w:pPr>
    </w:p>
    <w:p>
      <w:pPr>
        <w:jc w:val="both"/>
        <w:ind w:left="360" w:right="366" w:firstLine="641"/>
        <w:spacing w:after="0" w:line="437" w:lineRule="exact"/>
        <w:rPr>
          <w:sz w:val="20"/>
          <w:szCs w:val="20"/>
          <w:color w:val="auto"/>
        </w:rPr>
      </w:pPr>
      <w:r>
        <w:rPr>
          <w:rFonts w:ascii="宋体" w:cs="宋体" w:eastAsia="宋体" w:hAnsi="宋体"/>
          <w:sz w:val="32"/>
          <w:szCs w:val="32"/>
          <w:color w:val="auto"/>
        </w:rPr>
        <w:t>（五）制定临时管理规约、管理规约、业主大会议事规则、物业服务合同等示范文本和相关标准；</w:t>
      </w:r>
    </w:p>
    <w:p>
      <w:pPr>
        <w:spacing w:after="0" w:line="245" w:lineRule="exact"/>
        <w:rPr>
          <w:sz w:val="20"/>
          <w:szCs w:val="20"/>
          <w:color w:val="auto"/>
        </w:rPr>
      </w:pPr>
    </w:p>
    <w:p>
      <w:pPr>
        <w:jc w:val="both"/>
        <w:ind w:left="360" w:right="366" w:firstLine="641"/>
        <w:spacing w:after="0" w:line="438" w:lineRule="exact"/>
        <w:rPr>
          <w:sz w:val="20"/>
          <w:szCs w:val="20"/>
          <w:color w:val="auto"/>
        </w:rPr>
      </w:pPr>
      <w:r>
        <w:rPr>
          <w:rFonts w:ascii="宋体" w:cs="宋体" w:eastAsia="宋体" w:hAnsi="宋体"/>
          <w:sz w:val="32"/>
          <w:szCs w:val="32"/>
          <w:color w:val="auto"/>
        </w:rPr>
        <w:t>（六）建立全市统一的物业管理信用信息、业主电子共同决策等信息系统；</w:t>
      </w:r>
    </w:p>
    <w:p>
      <w:pPr>
        <w:spacing w:after="0" w:line="197"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（七）指导行业协会制定和实施自律性规范；</w:t>
      </w:r>
    </w:p>
    <w:p>
      <w:pPr>
        <w:spacing w:after="0" w:line="194"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（八）实施物业管理方面的其他监督管理职责。</w:t>
      </w:r>
    </w:p>
    <w:p>
      <w:pPr>
        <w:spacing w:after="0" w:line="197"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区住房和城乡建设或者房屋主管部门履行下列职责：</w:t>
      </w:r>
    </w:p>
    <w:p>
      <w:pPr>
        <w:spacing w:after="0" w:line="194"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（一）贯彻执行物业管理相关政策和制度；</w:t>
      </w:r>
    </w:p>
    <w:p>
      <w:pPr>
        <w:spacing w:after="0" w:line="194"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（二）监督管理辖区内物业服务企业和从业人员；</w:t>
      </w:r>
    </w:p>
    <w:p>
      <w:pPr>
        <w:spacing w:after="0" w:line="245" w:lineRule="exact"/>
        <w:rPr>
          <w:sz w:val="20"/>
          <w:szCs w:val="20"/>
          <w:color w:val="auto"/>
        </w:rPr>
      </w:pPr>
    </w:p>
    <w:p>
      <w:pPr>
        <w:jc w:val="both"/>
        <w:ind w:left="360" w:right="366" w:firstLine="641"/>
        <w:spacing w:after="0" w:line="437" w:lineRule="exact"/>
        <w:rPr>
          <w:sz w:val="20"/>
          <w:szCs w:val="20"/>
          <w:color w:val="auto"/>
        </w:rPr>
      </w:pPr>
      <w:r>
        <w:rPr>
          <w:rFonts w:ascii="宋体" w:cs="宋体" w:eastAsia="宋体" w:hAnsi="宋体"/>
          <w:sz w:val="32"/>
          <w:szCs w:val="32"/>
          <w:color w:val="auto"/>
        </w:rPr>
        <w:t>（三）指导、监督辖区内住宅专项维修资金的筹集、管理和使用；</w:t>
      </w:r>
    </w:p>
    <w:p>
      <w:pPr>
        <w:spacing w:after="0" w:line="245" w:lineRule="exact"/>
        <w:rPr>
          <w:sz w:val="20"/>
          <w:szCs w:val="20"/>
          <w:color w:val="auto"/>
        </w:rPr>
      </w:pPr>
    </w:p>
    <w:p>
      <w:pPr>
        <w:jc w:val="both"/>
        <w:ind w:left="360" w:right="366" w:firstLine="641"/>
        <w:spacing w:after="0" w:line="438" w:lineRule="exact"/>
        <w:rPr>
          <w:sz w:val="20"/>
          <w:szCs w:val="20"/>
          <w:color w:val="auto"/>
        </w:rPr>
      </w:pPr>
      <w:r>
        <w:rPr>
          <w:rFonts w:ascii="宋体" w:cs="宋体" w:eastAsia="宋体" w:hAnsi="宋体"/>
          <w:sz w:val="32"/>
          <w:szCs w:val="32"/>
          <w:color w:val="auto"/>
        </w:rPr>
        <w:t>（四）组织对辖区内业主委员会、物业管理委员会委员开展培训；</w:t>
      </w:r>
    </w:p>
    <w:p>
      <w:pPr>
        <w:spacing w:after="0" w:line="245" w:lineRule="exact"/>
        <w:rPr>
          <w:sz w:val="20"/>
          <w:szCs w:val="20"/>
          <w:color w:val="auto"/>
        </w:rPr>
      </w:pPr>
    </w:p>
    <w:p>
      <w:pPr>
        <w:jc w:val="both"/>
        <w:ind w:left="360" w:right="366" w:firstLine="641"/>
        <w:spacing w:after="0" w:line="437" w:lineRule="exact"/>
        <w:rPr>
          <w:sz w:val="20"/>
          <w:szCs w:val="20"/>
          <w:color w:val="auto"/>
        </w:rPr>
      </w:pPr>
      <w:r>
        <w:rPr>
          <w:rFonts w:ascii="宋体" w:cs="宋体" w:eastAsia="宋体" w:hAnsi="宋体"/>
          <w:sz w:val="32"/>
          <w:szCs w:val="32"/>
          <w:color w:val="auto"/>
        </w:rPr>
        <w:t>（五）指导街道办事处、乡镇人民政府实施与物业管理相关工作；</w:t>
      </w:r>
    </w:p>
    <w:p>
      <w:pPr>
        <w:spacing w:after="0" w:line="200"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（六）落实物业管理方面的其他监督管理职责。</w:t>
      </w:r>
    </w:p>
    <w:p>
      <w:pPr>
        <w:spacing w:after="0" w:line="242" w:lineRule="exact"/>
        <w:rPr>
          <w:sz w:val="20"/>
          <w:szCs w:val="20"/>
          <w:color w:val="auto"/>
        </w:rPr>
      </w:pPr>
    </w:p>
    <w:p>
      <w:pPr>
        <w:jc w:val="both"/>
        <w:ind w:left="360" w:right="366" w:firstLine="641"/>
        <w:spacing w:after="0" w:line="480" w:lineRule="exact"/>
        <w:rPr>
          <w:sz w:val="20"/>
          <w:szCs w:val="20"/>
          <w:color w:val="auto"/>
        </w:rPr>
      </w:pPr>
      <w:r>
        <w:rPr>
          <w:rFonts w:ascii="宋体" w:cs="宋体" w:eastAsia="宋体" w:hAnsi="宋体"/>
          <w:sz w:val="32"/>
          <w:szCs w:val="32"/>
          <w:color w:val="auto"/>
        </w:rPr>
        <w:t>发展改革、民政、财政、规划自然资源、城市管理、水务、市场监管、园林绿化、人防等相关主管部门，按照各自职责，负责物业管理相关监督管理工作。</w:t>
      </w:r>
    </w:p>
    <w:p>
      <w:pPr>
        <w:spacing w:after="0" w:line="243" w:lineRule="exact"/>
        <w:rPr>
          <w:sz w:val="20"/>
          <w:szCs w:val="20"/>
          <w:color w:val="auto"/>
        </w:rPr>
      </w:pPr>
    </w:p>
    <w:p>
      <w:pPr>
        <w:jc w:val="both"/>
        <w:ind w:left="360" w:right="366" w:firstLine="641"/>
        <w:spacing w:after="0" w:line="437" w:lineRule="exact"/>
        <w:rPr>
          <w:sz w:val="20"/>
          <w:szCs w:val="20"/>
          <w:color w:val="auto"/>
        </w:rPr>
      </w:pPr>
      <w:r>
        <w:rPr>
          <w:rFonts w:ascii="宋体" w:cs="宋体" w:eastAsia="宋体" w:hAnsi="宋体"/>
          <w:sz w:val="32"/>
          <w:szCs w:val="32"/>
          <w:color w:val="auto"/>
        </w:rPr>
        <w:t>第一百零三条 行政执法机关应当将物业管理相关主体受到行政处罚或者行政强制的情况共享到本市的公共信用</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ind w:left="4380"/>
        <w:spacing w:after="0" w:line="308" w:lineRule="exact"/>
        <w:rPr>
          <w:sz w:val="20"/>
          <w:szCs w:val="20"/>
          <w:color w:val="auto"/>
        </w:rPr>
      </w:pPr>
      <w:r>
        <w:rPr>
          <w:rFonts w:ascii="宋体" w:cs="宋体" w:eastAsia="宋体" w:hAnsi="宋体"/>
          <w:sz w:val="27"/>
          <w:szCs w:val="27"/>
          <w:color w:val="auto"/>
        </w:rPr>
        <w:t>- 61 -</w:t>
      </w:r>
    </w:p>
    <w:p>
      <w:pPr>
        <w:sectPr>
          <w:pgSz w:w="11900" w:h="16838" w:orient="portrait"/>
          <w:cols w:equalWidth="0" w:num="1">
            <w:col w:w="9026"/>
          </w:cols>
          <w:pgMar w:left="1440" w:top="1440" w:right="1440" w:bottom="500" w:gutter="0" w:footer="0" w:header="0"/>
          <w:type w:val="continuous"/>
        </w:sectPr>
      </w:pPr>
    </w:p>
    <w:bookmarkStart w:id="63" w:name="page64"/>
    <w:bookmarkEnd w:id="63"/>
    <w:p>
      <w:pPr>
        <w:spacing w:after="0" w:line="177" w:lineRule="exact"/>
        <w:rPr>
          <w:sz w:val="20"/>
          <w:szCs w:val="20"/>
          <w:color w:val="auto"/>
        </w:rPr>
      </w:pPr>
    </w:p>
    <w:p>
      <w:pPr>
        <w:jc w:val="both"/>
        <w:ind w:left="360" w:right="366"/>
        <w:spacing w:after="0" w:line="437" w:lineRule="exact"/>
        <w:rPr>
          <w:sz w:val="20"/>
          <w:szCs w:val="20"/>
          <w:color w:val="auto"/>
        </w:rPr>
      </w:pPr>
      <w:r>
        <w:rPr>
          <w:rFonts w:ascii="宋体" w:cs="宋体" w:eastAsia="宋体" w:hAnsi="宋体"/>
          <w:sz w:val="32"/>
          <w:szCs w:val="32"/>
          <w:color w:val="auto"/>
        </w:rPr>
        <w:t>信息平台。行政机关根据本市关于公共信用信息管理规定可以对其采取惩戒措施。</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ind w:left="2320" w:right="546" w:hanging="880"/>
        <w:spacing w:after="0" w:line="611" w:lineRule="exact"/>
        <w:rPr>
          <w:sz w:val="20"/>
          <w:szCs w:val="20"/>
          <w:color w:val="auto"/>
        </w:rPr>
      </w:pPr>
      <w:r>
        <w:rPr>
          <w:rFonts w:ascii="宋体" w:cs="宋体" w:eastAsia="宋体" w:hAnsi="宋体"/>
          <w:sz w:val="44"/>
          <w:szCs w:val="44"/>
          <w:color w:val="auto"/>
        </w:rPr>
        <w:t>北京市机动车和非道路移动机械排放污染防治条例（节选）</w:t>
      </w:r>
    </w:p>
    <w:p>
      <w:pPr>
        <w:spacing w:after="0" w:line="200" w:lineRule="exact"/>
        <w:rPr>
          <w:sz w:val="20"/>
          <w:szCs w:val="20"/>
          <w:color w:val="auto"/>
        </w:rPr>
      </w:pPr>
    </w:p>
    <w:p>
      <w:pPr>
        <w:spacing w:after="0" w:line="322" w:lineRule="exact"/>
        <w:rPr>
          <w:sz w:val="20"/>
          <w:szCs w:val="20"/>
          <w:color w:val="auto"/>
        </w:rPr>
      </w:pPr>
    </w:p>
    <w:p>
      <w:pPr>
        <w:jc w:val="both"/>
        <w:ind w:left="360" w:right="366" w:firstLine="641"/>
        <w:spacing w:after="0" w:line="499" w:lineRule="exact"/>
        <w:rPr>
          <w:sz w:val="20"/>
          <w:szCs w:val="20"/>
          <w:color w:val="auto"/>
        </w:rPr>
      </w:pPr>
      <w:r>
        <w:rPr>
          <w:rFonts w:ascii="宋体" w:cs="宋体" w:eastAsia="宋体" w:hAnsi="宋体"/>
          <w:sz w:val="32"/>
          <w:szCs w:val="32"/>
          <w:color w:val="auto"/>
        </w:rPr>
        <w:t>第四十五条 违反本条例第二十五条第一款规定，在本市使用的非道路移动机械未经信息编码登记或者未如实登记信息的，由生态环境部门责令改正，处每台非道路移动机械五千元罚款。</w:t>
      </w:r>
    </w:p>
    <w:p>
      <w:pPr>
        <w:spacing w:after="0" w:line="244" w:lineRule="exact"/>
        <w:rPr>
          <w:sz w:val="20"/>
          <w:szCs w:val="20"/>
          <w:color w:val="auto"/>
        </w:rPr>
      </w:pPr>
    </w:p>
    <w:p>
      <w:pPr>
        <w:jc w:val="both"/>
        <w:ind w:left="360" w:right="366" w:firstLine="641"/>
        <w:spacing w:after="0" w:line="499" w:lineRule="exact"/>
        <w:rPr>
          <w:sz w:val="20"/>
          <w:szCs w:val="20"/>
          <w:color w:val="auto"/>
        </w:rPr>
      </w:pPr>
      <w:r>
        <w:rPr>
          <w:rFonts w:ascii="宋体" w:cs="宋体" w:eastAsia="宋体" w:hAnsi="宋体"/>
          <w:sz w:val="32"/>
          <w:szCs w:val="32"/>
          <w:color w:val="auto"/>
        </w:rPr>
        <w:t>违反本条例第二十五条第三款规定，建设单位或者施工单位未落实有关规定，使用未经信息编码登记或者不符合排放标准的非道路移动机械的，由市住房和城乡建设部门记入信用信息记录。</w:t>
      </w:r>
    </w:p>
    <w:p>
      <w:pPr>
        <w:spacing w:after="0" w:line="246" w:lineRule="exact"/>
        <w:rPr>
          <w:sz w:val="20"/>
          <w:szCs w:val="20"/>
          <w:color w:val="auto"/>
        </w:rPr>
      </w:pPr>
    </w:p>
    <w:p>
      <w:pPr>
        <w:jc w:val="both"/>
        <w:ind w:left="360" w:right="366" w:firstLine="641"/>
        <w:spacing w:after="0" w:line="512" w:lineRule="exact"/>
        <w:rPr>
          <w:sz w:val="20"/>
          <w:szCs w:val="20"/>
          <w:color w:val="auto"/>
        </w:rPr>
      </w:pPr>
      <w:r>
        <w:rPr>
          <w:rFonts w:ascii="宋体" w:cs="宋体" w:eastAsia="宋体" w:hAnsi="宋体"/>
          <w:sz w:val="32"/>
          <w:szCs w:val="32"/>
          <w:color w:val="auto"/>
        </w:rPr>
        <w:t>第四十七条 执法机关应当将当事人违反机动车和非道路移动机械排放污染防治有关法律、法规，受到行政处罚或者行政强制的情况共享到本市公共信用信息平台。行政机关根据本市关于公共信用信息管理规定可以对当事人采取惩戒措施。</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ind w:left="4380"/>
        <w:spacing w:after="0" w:line="308" w:lineRule="exact"/>
        <w:rPr>
          <w:sz w:val="20"/>
          <w:szCs w:val="20"/>
          <w:color w:val="auto"/>
        </w:rPr>
      </w:pPr>
      <w:r>
        <w:rPr>
          <w:rFonts w:ascii="宋体" w:cs="宋体" w:eastAsia="宋体" w:hAnsi="宋体"/>
          <w:sz w:val="27"/>
          <w:szCs w:val="27"/>
          <w:color w:val="auto"/>
        </w:rPr>
        <w:t>- 62 -</w:t>
      </w:r>
    </w:p>
    <w:p>
      <w:pPr>
        <w:sectPr>
          <w:pgSz w:w="11900" w:h="16838" w:orient="portrait"/>
          <w:cols w:equalWidth="0" w:num="1">
            <w:col w:w="9026"/>
          </w:cols>
          <w:pgMar w:left="1440" w:top="1440" w:right="1440" w:bottom="500" w:gutter="0" w:footer="0" w:header="0"/>
          <w:type w:val="continuous"/>
        </w:sectPr>
      </w:pPr>
    </w:p>
    <w:bookmarkStart w:id="64" w:name="page65"/>
    <w:bookmarkEnd w:id="64"/>
    <w:p>
      <w:pPr>
        <w:spacing w:after="0" w:line="162" w:lineRule="exact"/>
        <w:rPr>
          <w:sz w:val="20"/>
          <w:szCs w:val="20"/>
          <w:color w:val="auto"/>
        </w:rPr>
      </w:pPr>
    </w:p>
    <w:p>
      <w:pPr>
        <w:ind w:left="1660"/>
        <w:spacing w:after="0" w:line="502" w:lineRule="exact"/>
        <w:rPr>
          <w:sz w:val="20"/>
          <w:szCs w:val="20"/>
          <w:color w:val="auto"/>
        </w:rPr>
      </w:pPr>
      <w:r>
        <w:rPr>
          <w:rFonts w:ascii="宋体" w:cs="宋体" w:eastAsia="宋体" w:hAnsi="宋体"/>
          <w:sz w:val="44"/>
          <w:szCs w:val="44"/>
          <w:color w:val="auto"/>
        </w:rPr>
        <w:t>北京市大气污染防治条例（节选）</w:t>
      </w:r>
    </w:p>
    <w:p>
      <w:pPr>
        <w:spacing w:after="0" w:line="200" w:lineRule="exact"/>
        <w:rPr>
          <w:sz w:val="20"/>
          <w:szCs w:val="20"/>
          <w:color w:val="auto"/>
        </w:rPr>
      </w:pPr>
    </w:p>
    <w:p>
      <w:pPr>
        <w:spacing w:after="0" w:line="343" w:lineRule="exact"/>
        <w:rPr>
          <w:sz w:val="20"/>
          <w:szCs w:val="20"/>
          <w:color w:val="auto"/>
        </w:rPr>
      </w:pPr>
    </w:p>
    <w:p>
      <w:pPr>
        <w:jc w:val="both"/>
        <w:ind w:left="360" w:right="366" w:firstLine="641"/>
        <w:spacing w:after="0" w:line="478" w:lineRule="exact"/>
        <w:rPr>
          <w:sz w:val="20"/>
          <w:szCs w:val="20"/>
          <w:color w:val="auto"/>
        </w:rPr>
      </w:pPr>
      <w:r>
        <w:rPr>
          <w:rFonts w:ascii="宋体" w:cs="宋体" w:eastAsia="宋体" w:hAnsi="宋体"/>
          <w:sz w:val="32"/>
          <w:szCs w:val="32"/>
          <w:color w:val="auto"/>
        </w:rPr>
        <w:t>第十八条 市环境保护行政主管部门及有关部门应当向社会公布因违反大气污染防治相关法律法规而受到相应处罚的企业及其负责人名单，并录入企业信用系统。</w:t>
      </w:r>
    </w:p>
    <w:p>
      <w:pPr>
        <w:spacing w:after="0" w:line="247" w:lineRule="exact"/>
        <w:rPr>
          <w:sz w:val="20"/>
          <w:szCs w:val="20"/>
          <w:color w:val="auto"/>
        </w:rPr>
      </w:pPr>
    </w:p>
    <w:p>
      <w:pPr>
        <w:jc w:val="both"/>
        <w:ind w:left="360" w:right="366" w:firstLine="641"/>
        <w:spacing w:after="0" w:line="437" w:lineRule="exact"/>
        <w:rPr>
          <w:sz w:val="20"/>
          <w:szCs w:val="20"/>
          <w:color w:val="auto"/>
        </w:rPr>
      </w:pPr>
      <w:r>
        <w:rPr>
          <w:rFonts w:ascii="宋体" w:cs="宋体" w:eastAsia="宋体" w:hAnsi="宋体"/>
          <w:sz w:val="32"/>
          <w:szCs w:val="32"/>
          <w:color w:val="auto"/>
        </w:rPr>
        <w:t>第八十一条 建设工程施工现场应当根据本市绿色施工的有关规定，采取下列措施：</w:t>
      </w:r>
    </w:p>
    <w:p>
      <w:pPr>
        <w:spacing w:after="0" w:line="245" w:lineRule="exact"/>
        <w:rPr>
          <w:sz w:val="20"/>
          <w:szCs w:val="20"/>
          <w:color w:val="auto"/>
        </w:rPr>
      </w:pPr>
    </w:p>
    <w:p>
      <w:pPr>
        <w:jc w:val="both"/>
        <w:ind w:left="360" w:right="366" w:firstLine="641"/>
        <w:spacing w:after="0" w:line="438" w:lineRule="exact"/>
        <w:rPr>
          <w:sz w:val="20"/>
          <w:szCs w:val="20"/>
          <w:color w:val="auto"/>
        </w:rPr>
      </w:pPr>
      <w:r>
        <w:rPr>
          <w:rFonts w:ascii="宋体" w:cs="宋体" w:eastAsia="宋体" w:hAnsi="宋体"/>
          <w:sz w:val="32"/>
          <w:szCs w:val="32"/>
          <w:color w:val="auto"/>
        </w:rPr>
        <w:t>（一）建设工程开工前，建设单位应当按照标准在施工现场周边设置围挡，施工单位应当对围挡进行维护；</w:t>
      </w:r>
    </w:p>
    <w:p>
      <w:pPr>
        <w:spacing w:after="0" w:line="245" w:lineRule="exact"/>
        <w:rPr>
          <w:sz w:val="20"/>
          <w:szCs w:val="20"/>
          <w:color w:val="auto"/>
        </w:rPr>
      </w:pPr>
    </w:p>
    <w:p>
      <w:pPr>
        <w:jc w:val="right"/>
        <w:ind w:left="360" w:right="346"/>
        <w:spacing w:after="0" w:line="499" w:lineRule="exact"/>
        <w:rPr>
          <w:sz w:val="20"/>
          <w:szCs w:val="20"/>
          <w:color w:val="auto"/>
        </w:rPr>
      </w:pPr>
      <w:r>
        <w:rPr>
          <w:rFonts w:ascii="宋体" w:cs="宋体" w:eastAsia="宋体" w:hAnsi="宋体"/>
          <w:sz w:val="32"/>
          <w:szCs w:val="32"/>
          <w:color w:val="auto"/>
        </w:rPr>
        <w:t>（二）施工单位应当在施工现场出入口公示施工现场负责人、环保监督员、扬尘污染控制措施、举报电话等信息；（三）施工单位应当对施工现场内主要道路和物料堆放场地进行硬化，对其他场地进行覆盖或者临时绿化，对土方</w:t>
      </w:r>
    </w:p>
    <w:p>
      <w:pPr>
        <w:spacing w:after="0" w:line="196"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集中堆放并采取覆盖或者固化措施；</w:t>
      </w:r>
    </w:p>
    <w:p>
      <w:pPr>
        <w:spacing w:after="0" w:line="245" w:lineRule="exact"/>
        <w:rPr>
          <w:sz w:val="20"/>
          <w:szCs w:val="20"/>
          <w:color w:val="auto"/>
        </w:rPr>
      </w:pPr>
    </w:p>
    <w:p>
      <w:pPr>
        <w:jc w:val="both"/>
        <w:ind w:left="360" w:right="366" w:firstLine="641"/>
        <w:spacing w:after="0" w:line="478" w:lineRule="exact"/>
        <w:rPr>
          <w:sz w:val="20"/>
          <w:szCs w:val="20"/>
          <w:color w:val="auto"/>
        </w:rPr>
      </w:pPr>
      <w:r>
        <w:rPr>
          <w:rFonts w:ascii="宋体" w:cs="宋体" w:eastAsia="宋体" w:hAnsi="宋体"/>
          <w:sz w:val="32"/>
          <w:szCs w:val="32"/>
          <w:color w:val="auto"/>
        </w:rPr>
        <w:t>（四）气象预报风速达到四级以上时，施工单位应当停止土石方作业、拆除作业及其他可能产生扬尘污染的施工作业；</w:t>
      </w:r>
    </w:p>
    <w:p>
      <w:pPr>
        <w:spacing w:after="0" w:line="247" w:lineRule="exact"/>
        <w:rPr>
          <w:sz w:val="20"/>
          <w:szCs w:val="20"/>
          <w:color w:val="auto"/>
        </w:rPr>
      </w:pPr>
    </w:p>
    <w:p>
      <w:pPr>
        <w:jc w:val="both"/>
        <w:ind w:left="360" w:right="366" w:firstLine="641"/>
        <w:spacing w:after="0" w:line="499" w:lineRule="exact"/>
        <w:rPr>
          <w:sz w:val="20"/>
          <w:szCs w:val="20"/>
          <w:color w:val="auto"/>
        </w:rPr>
      </w:pPr>
      <w:r>
        <w:rPr>
          <w:rFonts w:ascii="宋体" w:cs="宋体" w:eastAsia="宋体" w:hAnsi="宋体"/>
          <w:sz w:val="32"/>
          <w:szCs w:val="32"/>
          <w:color w:val="auto"/>
        </w:rPr>
        <w:t>（五）建设工程施工现场出口处应当设置冲洗车辆设施，按照本市规定安装视频监控系统；施工车辆经除泥、冲洗后方能驶出工地，不得带泥上路行驶；车辆清洗处应当配套设置排水、泥浆沉淀设施；</w:t>
      </w:r>
    </w:p>
    <w:p>
      <w:pPr>
        <w:spacing w:after="0" w:line="244" w:lineRule="exact"/>
        <w:rPr>
          <w:sz w:val="20"/>
          <w:szCs w:val="20"/>
          <w:color w:val="auto"/>
        </w:rPr>
      </w:pPr>
    </w:p>
    <w:p>
      <w:pPr>
        <w:jc w:val="both"/>
        <w:ind w:left="360" w:right="366" w:firstLine="641"/>
        <w:spacing w:after="0" w:line="437" w:lineRule="exact"/>
        <w:rPr>
          <w:sz w:val="20"/>
          <w:szCs w:val="20"/>
          <w:color w:val="auto"/>
        </w:rPr>
      </w:pPr>
      <w:r>
        <w:rPr>
          <w:rFonts w:ascii="宋体" w:cs="宋体" w:eastAsia="宋体" w:hAnsi="宋体"/>
          <w:sz w:val="32"/>
          <w:szCs w:val="32"/>
          <w:color w:val="auto"/>
        </w:rPr>
        <w:t>（六）建设工程施工现场道路及进出口周边一百米以内的道路不得有泥土和建筑垃圾；</w:t>
      </w:r>
    </w:p>
    <w:p>
      <w:pPr>
        <w:spacing w:after="0" w:line="211" w:lineRule="exact"/>
        <w:rPr>
          <w:sz w:val="20"/>
          <w:szCs w:val="20"/>
          <w:color w:val="auto"/>
        </w:rPr>
      </w:pPr>
    </w:p>
    <w:p>
      <w:pPr>
        <w:ind w:left="1000"/>
        <w:spacing w:after="0" w:line="354" w:lineRule="exact"/>
        <w:rPr>
          <w:sz w:val="20"/>
          <w:szCs w:val="20"/>
          <w:color w:val="auto"/>
        </w:rPr>
      </w:pPr>
      <w:r>
        <w:rPr>
          <w:rFonts w:ascii="宋体" w:cs="宋体" w:eastAsia="宋体" w:hAnsi="宋体"/>
          <w:sz w:val="31"/>
          <w:szCs w:val="31"/>
          <w:color w:val="auto"/>
        </w:rPr>
        <w:t>（七）道路挖掘施工过程中，施工单位应当及时覆盖破</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ind w:left="4380"/>
        <w:spacing w:after="0" w:line="308" w:lineRule="exact"/>
        <w:rPr>
          <w:sz w:val="20"/>
          <w:szCs w:val="20"/>
          <w:color w:val="auto"/>
        </w:rPr>
      </w:pPr>
      <w:r>
        <w:rPr>
          <w:rFonts w:ascii="宋体" w:cs="宋体" w:eastAsia="宋体" w:hAnsi="宋体"/>
          <w:sz w:val="27"/>
          <w:szCs w:val="27"/>
          <w:color w:val="auto"/>
        </w:rPr>
        <w:t>- 63 -</w:t>
      </w:r>
    </w:p>
    <w:p>
      <w:pPr>
        <w:sectPr>
          <w:pgSz w:w="11900" w:h="16838" w:orient="portrait"/>
          <w:cols w:equalWidth="0" w:num="1">
            <w:col w:w="9026"/>
          </w:cols>
          <w:pgMar w:left="1440" w:top="1440" w:right="1440" w:bottom="500" w:gutter="0" w:footer="0" w:header="0"/>
          <w:type w:val="continuous"/>
        </w:sectPr>
      </w:pPr>
    </w:p>
    <w:bookmarkStart w:id="65" w:name="page66"/>
    <w:bookmarkEnd w:id="65"/>
    <w:p>
      <w:pPr>
        <w:spacing w:after="0" w:line="177" w:lineRule="exact"/>
        <w:rPr>
          <w:sz w:val="20"/>
          <w:szCs w:val="20"/>
          <w:color w:val="auto"/>
        </w:rPr>
      </w:pPr>
    </w:p>
    <w:p>
      <w:pPr>
        <w:jc w:val="both"/>
        <w:ind w:left="360" w:right="366"/>
        <w:spacing w:after="0" w:line="437" w:lineRule="exact"/>
        <w:rPr>
          <w:sz w:val="20"/>
          <w:szCs w:val="20"/>
          <w:color w:val="auto"/>
        </w:rPr>
      </w:pPr>
      <w:r>
        <w:rPr>
          <w:rFonts w:ascii="宋体" w:cs="宋体" w:eastAsia="宋体" w:hAnsi="宋体"/>
          <w:sz w:val="32"/>
          <w:szCs w:val="32"/>
          <w:color w:val="auto"/>
        </w:rPr>
        <w:t>损路面，并采取洒水等措施防治扬尘污染；道路挖掘施工完成后应当及时修复路面；</w:t>
      </w:r>
    </w:p>
    <w:p>
      <w:pPr>
        <w:spacing w:after="0" w:line="197"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（八）国家和本市有关施工现场管理的其他规定。</w:t>
      </w:r>
    </w:p>
    <w:p>
      <w:pPr>
        <w:spacing w:after="0" w:line="245" w:lineRule="exact"/>
        <w:rPr>
          <w:sz w:val="20"/>
          <w:szCs w:val="20"/>
          <w:color w:val="auto"/>
        </w:rPr>
      </w:pPr>
    </w:p>
    <w:p>
      <w:pPr>
        <w:jc w:val="both"/>
        <w:ind w:left="360" w:right="366" w:firstLine="641"/>
        <w:spacing w:after="0" w:line="437" w:lineRule="exact"/>
        <w:rPr>
          <w:sz w:val="20"/>
          <w:szCs w:val="20"/>
          <w:color w:val="auto"/>
        </w:rPr>
      </w:pPr>
      <w:r>
        <w:rPr>
          <w:rFonts w:ascii="宋体" w:cs="宋体" w:eastAsia="宋体" w:hAnsi="宋体"/>
          <w:sz w:val="32"/>
          <w:szCs w:val="32"/>
          <w:color w:val="auto"/>
        </w:rPr>
        <w:t>本市将施工单位的施工现场扬尘违法行为，纳入本市施工企业市场行为信用评价系统。</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ind w:left="2540"/>
        <w:spacing w:after="0" w:line="502" w:lineRule="exact"/>
        <w:rPr>
          <w:sz w:val="20"/>
          <w:szCs w:val="20"/>
          <w:color w:val="auto"/>
        </w:rPr>
      </w:pPr>
      <w:r>
        <w:rPr>
          <w:rFonts w:ascii="宋体" w:cs="宋体" w:eastAsia="宋体" w:hAnsi="宋体"/>
          <w:sz w:val="44"/>
          <w:szCs w:val="44"/>
          <w:color w:val="auto"/>
        </w:rPr>
        <w:t>北京市旅游条例（节选）</w:t>
      </w:r>
    </w:p>
    <w:p>
      <w:pPr>
        <w:spacing w:after="0" w:line="200" w:lineRule="exact"/>
        <w:rPr>
          <w:sz w:val="20"/>
          <w:szCs w:val="20"/>
          <w:color w:val="auto"/>
        </w:rPr>
      </w:pPr>
    </w:p>
    <w:p>
      <w:pPr>
        <w:spacing w:after="0" w:line="341" w:lineRule="exact"/>
        <w:rPr>
          <w:sz w:val="20"/>
          <w:szCs w:val="20"/>
          <w:color w:val="auto"/>
        </w:rPr>
      </w:pPr>
    </w:p>
    <w:p>
      <w:pPr>
        <w:jc w:val="both"/>
        <w:ind w:left="360" w:right="366" w:firstLine="641"/>
        <w:spacing w:after="0" w:line="499" w:lineRule="exact"/>
        <w:rPr>
          <w:sz w:val="20"/>
          <w:szCs w:val="20"/>
          <w:color w:val="auto"/>
        </w:rPr>
      </w:pPr>
      <w:r>
        <w:rPr>
          <w:rFonts w:ascii="宋体" w:cs="宋体" w:eastAsia="宋体" w:hAnsi="宋体"/>
          <w:sz w:val="32"/>
          <w:szCs w:val="32"/>
          <w:color w:val="auto"/>
        </w:rPr>
        <w:t>第六十三条 本市加强旅游业诚信体系建设，市旅游行政部门建立全市统一的旅游信用信息平台，统一归集旅游经营者的身份信息、警示信息、良好信息和违法信息等信用信息，并向社会公开。</w:t>
      </w:r>
    </w:p>
    <w:p>
      <w:pPr>
        <w:spacing w:after="0" w:line="246" w:lineRule="exact"/>
        <w:rPr>
          <w:sz w:val="20"/>
          <w:szCs w:val="20"/>
          <w:color w:val="auto"/>
        </w:rPr>
      </w:pPr>
    </w:p>
    <w:p>
      <w:pPr>
        <w:jc w:val="both"/>
        <w:ind w:left="360" w:right="366" w:firstLine="641"/>
        <w:spacing w:after="0" w:line="499" w:lineRule="exact"/>
        <w:rPr>
          <w:sz w:val="20"/>
          <w:szCs w:val="20"/>
          <w:color w:val="auto"/>
        </w:rPr>
      </w:pPr>
      <w:r>
        <w:rPr>
          <w:rFonts w:ascii="宋体" w:cs="宋体" w:eastAsia="宋体" w:hAnsi="宋体"/>
          <w:sz w:val="32"/>
          <w:szCs w:val="32"/>
          <w:color w:val="auto"/>
        </w:rPr>
        <w:t>旅游行政部门和有关部门可以根据旅游经营者的信用状况，实行分级分类管理，对有不良信用记录的旅游经营者进行重点管理，增加检查频次；旅游经营者的信用状况，可以作为有关部门批准行政许可申请的重要参考依据。</w:t>
      </w:r>
    </w:p>
    <w:p>
      <w:pPr>
        <w:spacing w:after="0" w:line="244" w:lineRule="exact"/>
        <w:rPr>
          <w:sz w:val="20"/>
          <w:szCs w:val="20"/>
          <w:color w:val="auto"/>
        </w:rPr>
      </w:pPr>
    </w:p>
    <w:p>
      <w:pPr>
        <w:jc w:val="both"/>
        <w:ind w:left="360" w:right="366" w:firstLine="641"/>
        <w:spacing w:after="0" w:line="437" w:lineRule="exact"/>
        <w:rPr>
          <w:sz w:val="20"/>
          <w:szCs w:val="20"/>
          <w:color w:val="auto"/>
        </w:rPr>
      </w:pPr>
      <w:r>
        <w:rPr>
          <w:rFonts w:ascii="宋体" w:cs="宋体" w:eastAsia="宋体" w:hAnsi="宋体"/>
          <w:sz w:val="32"/>
          <w:szCs w:val="32"/>
          <w:color w:val="auto"/>
        </w:rPr>
        <w:t>不具有相关旅游经营资质的违法经营主体信息，纳入旅游信用信息平台管理。</w:t>
      </w:r>
    </w:p>
    <w:p>
      <w:pPr>
        <w:spacing w:after="0" w:line="248" w:lineRule="exact"/>
        <w:rPr>
          <w:sz w:val="20"/>
          <w:szCs w:val="20"/>
          <w:color w:val="auto"/>
        </w:rPr>
      </w:pPr>
    </w:p>
    <w:p>
      <w:pPr>
        <w:jc w:val="both"/>
        <w:ind w:left="360" w:right="366" w:firstLine="641"/>
        <w:spacing w:after="0" w:line="437" w:lineRule="exact"/>
        <w:rPr>
          <w:sz w:val="20"/>
          <w:szCs w:val="20"/>
          <w:color w:val="auto"/>
        </w:rPr>
      </w:pPr>
      <w:r>
        <w:rPr>
          <w:rFonts w:ascii="宋体" w:cs="宋体" w:eastAsia="宋体" w:hAnsi="宋体"/>
          <w:sz w:val="32"/>
          <w:szCs w:val="32"/>
          <w:color w:val="auto"/>
        </w:rPr>
        <w:t>第六十四条 市旅游行政部门和有关部门应当建立健全旅游不文明行为记录制度。</w:t>
      </w:r>
    </w:p>
    <w:p>
      <w:pPr>
        <w:spacing w:after="0" w:line="245" w:lineRule="exact"/>
        <w:rPr>
          <w:sz w:val="20"/>
          <w:szCs w:val="20"/>
          <w:color w:val="auto"/>
        </w:rPr>
      </w:pPr>
    </w:p>
    <w:p>
      <w:pPr>
        <w:jc w:val="both"/>
        <w:ind w:left="360" w:right="366" w:firstLine="641"/>
        <w:spacing w:after="0" w:line="480" w:lineRule="exact"/>
        <w:rPr>
          <w:sz w:val="20"/>
          <w:szCs w:val="20"/>
          <w:color w:val="auto"/>
        </w:rPr>
      </w:pPr>
      <w:r>
        <w:rPr>
          <w:rFonts w:ascii="宋体" w:cs="宋体" w:eastAsia="宋体" w:hAnsi="宋体"/>
          <w:sz w:val="32"/>
          <w:szCs w:val="32"/>
          <w:color w:val="auto"/>
        </w:rPr>
        <w:t>旅游从业人员有本条例规定的违法情形的，除依照法律、法规规定予以处罚外，旅游行政部门应当将处罚信息纳入旅游不文明行为记录。</w:t>
      </w:r>
    </w:p>
    <w:p>
      <w:pPr>
        <w:spacing w:after="0" w:line="206" w:lineRule="exact"/>
        <w:rPr>
          <w:sz w:val="20"/>
          <w:szCs w:val="20"/>
          <w:color w:val="auto"/>
        </w:rPr>
      </w:pPr>
    </w:p>
    <w:p>
      <w:pPr>
        <w:ind w:left="1000"/>
        <w:spacing w:after="0" w:line="354" w:lineRule="exact"/>
        <w:rPr>
          <w:sz w:val="20"/>
          <w:szCs w:val="20"/>
          <w:color w:val="auto"/>
        </w:rPr>
      </w:pPr>
      <w:r>
        <w:rPr>
          <w:rFonts w:ascii="宋体" w:cs="宋体" w:eastAsia="宋体" w:hAnsi="宋体"/>
          <w:sz w:val="31"/>
          <w:szCs w:val="31"/>
          <w:color w:val="auto"/>
        </w:rPr>
        <w:t>旅游者在旅游活动中有扰乱公共交通工具秩序，破坏公</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3" w:lineRule="exact"/>
        <w:rPr>
          <w:sz w:val="20"/>
          <w:szCs w:val="20"/>
          <w:color w:val="auto"/>
        </w:rPr>
      </w:pPr>
    </w:p>
    <w:p>
      <w:pPr>
        <w:ind w:left="4380"/>
        <w:spacing w:after="0" w:line="308" w:lineRule="exact"/>
        <w:rPr>
          <w:sz w:val="20"/>
          <w:szCs w:val="20"/>
          <w:color w:val="auto"/>
        </w:rPr>
      </w:pPr>
      <w:r>
        <w:rPr>
          <w:rFonts w:ascii="宋体" w:cs="宋体" w:eastAsia="宋体" w:hAnsi="宋体"/>
          <w:sz w:val="27"/>
          <w:szCs w:val="27"/>
          <w:color w:val="auto"/>
        </w:rPr>
        <w:t>- 64 -</w:t>
      </w:r>
    </w:p>
    <w:p>
      <w:pPr>
        <w:sectPr>
          <w:pgSz w:w="11900" w:h="16838" w:orient="portrait"/>
          <w:cols w:equalWidth="0" w:num="1">
            <w:col w:w="9026"/>
          </w:cols>
          <w:pgMar w:left="1440" w:top="1440" w:right="1440" w:bottom="500" w:gutter="0" w:footer="0" w:header="0"/>
          <w:type w:val="continuous"/>
        </w:sectPr>
      </w:pPr>
    </w:p>
    <w:bookmarkStart w:id="66" w:name="page67"/>
    <w:bookmarkEnd w:id="66"/>
    <w:p>
      <w:pPr>
        <w:spacing w:after="0" w:line="177" w:lineRule="exact"/>
        <w:rPr>
          <w:sz w:val="20"/>
          <w:szCs w:val="20"/>
          <w:color w:val="auto"/>
        </w:rPr>
      </w:pPr>
    </w:p>
    <w:p>
      <w:pPr>
        <w:jc w:val="both"/>
        <w:ind w:left="360" w:right="366"/>
        <w:spacing w:after="0" w:line="499" w:lineRule="exact"/>
        <w:rPr>
          <w:sz w:val="20"/>
          <w:szCs w:val="20"/>
          <w:color w:val="auto"/>
        </w:rPr>
      </w:pPr>
      <w:r>
        <w:rPr>
          <w:rFonts w:ascii="宋体" w:cs="宋体" w:eastAsia="宋体" w:hAnsi="宋体"/>
          <w:sz w:val="32"/>
          <w:szCs w:val="32"/>
          <w:color w:val="auto"/>
        </w:rPr>
        <w:t>共环境卫生和公共设施，损毁、破坏文物古迹以及其他严重扰乱旅游秩序行为的，按照国家有关规定，纳入旅游不文明行为记录。对纳入不文明行为记录的旅游者，景区、旅行社可以拒绝为其提供旅游服务。</w:t>
      </w:r>
    </w:p>
    <w:p>
      <w:pPr>
        <w:spacing w:after="0" w:line="244" w:lineRule="exact"/>
        <w:rPr>
          <w:sz w:val="20"/>
          <w:szCs w:val="20"/>
          <w:color w:val="auto"/>
        </w:rPr>
      </w:pPr>
    </w:p>
    <w:p>
      <w:pPr>
        <w:jc w:val="both"/>
        <w:ind w:left="360" w:right="366" w:firstLine="641"/>
        <w:spacing w:after="0" w:line="437" w:lineRule="exact"/>
        <w:rPr>
          <w:sz w:val="20"/>
          <w:szCs w:val="20"/>
          <w:color w:val="auto"/>
        </w:rPr>
      </w:pPr>
      <w:r>
        <w:rPr>
          <w:rFonts w:ascii="宋体" w:cs="宋体" w:eastAsia="宋体" w:hAnsi="宋体"/>
          <w:sz w:val="32"/>
          <w:szCs w:val="32"/>
          <w:color w:val="auto"/>
        </w:rPr>
        <w:t>第六十五条 支持消费者组织定期发布旅游者对本市旅游市场的投诉情况、</w:t>
      </w:r>
    </w:p>
    <w:p>
      <w:pPr>
        <w:spacing w:after="0" w:line="248" w:lineRule="exact"/>
        <w:rPr>
          <w:sz w:val="20"/>
          <w:szCs w:val="20"/>
          <w:color w:val="auto"/>
        </w:rPr>
      </w:pPr>
    </w:p>
    <w:p>
      <w:pPr>
        <w:jc w:val="both"/>
        <w:ind w:left="360" w:right="366" w:firstLine="641"/>
        <w:spacing w:after="0" w:line="478" w:lineRule="exact"/>
        <w:rPr>
          <w:sz w:val="20"/>
          <w:szCs w:val="20"/>
          <w:color w:val="auto"/>
        </w:rPr>
      </w:pPr>
      <w:r>
        <w:rPr>
          <w:rFonts w:ascii="宋体" w:cs="宋体" w:eastAsia="宋体" w:hAnsi="宋体"/>
          <w:sz w:val="32"/>
          <w:szCs w:val="32"/>
          <w:color w:val="auto"/>
        </w:rPr>
        <w:t>旅游者体验报告和对旅游者的消费提示，对旅游经营者的经营行为进行点评、对违法行为进行曝光，发挥社会监督作用。</w:t>
      </w:r>
    </w:p>
    <w:p>
      <w:pPr>
        <w:spacing w:after="0" w:line="247" w:lineRule="exact"/>
        <w:rPr>
          <w:sz w:val="20"/>
          <w:szCs w:val="20"/>
          <w:color w:val="auto"/>
        </w:rPr>
      </w:pPr>
    </w:p>
    <w:p>
      <w:pPr>
        <w:jc w:val="both"/>
        <w:ind w:left="360" w:right="366" w:firstLine="641"/>
        <w:spacing w:after="0" w:line="478" w:lineRule="exact"/>
        <w:rPr>
          <w:sz w:val="20"/>
          <w:szCs w:val="20"/>
          <w:color w:val="auto"/>
        </w:rPr>
      </w:pPr>
      <w:r>
        <w:rPr>
          <w:rFonts w:ascii="宋体" w:cs="宋体" w:eastAsia="宋体" w:hAnsi="宋体"/>
          <w:sz w:val="32"/>
          <w:szCs w:val="32"/>
          <w:color w:val="auto"/>
        </w:rPr>
        <w:t>第七十九条 网络信息搜索服务提供者违反本条例第五十一条第三款规定，拒不采取必要措施停止提供相关搜索结果的，由旅游行政部门、网信部门约谈其主要负责人。</w:t>
      </w:r>
    </w:p>
    <w:p>
      <w:pPr>
        <w:spacing w:after="0" w:line="247" w:lineRule="exact"/>
        <w:rPr>
          <w:sz w:val="20"/>
          <w:szCs w:val="20"/>
          <w:color w:val="auto"/>
        </w:rPr>
      </w:pPr>
    </w:p>
    <w:p>
      <w:pPr>
        <w:jc w:val="both"/>
        <w:ind w:left="360" w:right="346" w:firstLine="641"/>
        <w:spacing w:after="0" w:line="478" w:lineRule="exact"/>
        <w:rPr>
          <w:sz w:val="20"/>
          <w:szCs w:val="20"/>
          <w:color w:val="auto"/>
        </w:rPr>
      </w:pPr>
      <w:r>
        <w:rPr>
          <w:rFonts w:ascii="宋体" w:cs="宋体" w:eastAsia="宋体" w:hAnsi="宋体"/>
          <w:sz w:val="32"/>
          <w:szCs w:val="32"/>
          <w:color w:val="auto"/>
        </w:rPr>
        <w:t>网络信息搜索服务提供者的主要负责人被约谈的信息，应当纳入本市信用信息系统，旅游行政部门和网信部门可以通过报纸、广播、电视和网络等渠道向社会公布。</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left="2540"/>
        <w:spacing w:after="0" w:line="502" w:lineRule="exact"/>
        <w:rPr>
          <w:sz w:val="20"/>
          <w:szCs w:val="20"/>
          <w:color w:val="auto"/>
        </w:rPr>
      </w:pPr>
      <w:r>
        <w:rPr>
          <w:rFonts w:ascii="宋体" w:cs="宋体" w:eastAsia="宋体" w:hAnsi="宋体"/>
          <w:sz w:val="44"/>
          <w:szCs w:val="44"/>
          <w:color w:val="auto"/>
        </w:rPr>
        <w:t>北京市审计条例（节选）</w:t>
      </w:r>
    </w:p>
    <w:p>
      <w:pPr>
        <w:spacing w:after="0" w:line="200" w:lineRule="exact"/>
        <w:rPr>
          <w:sz w:val="20"/>
          <w:szCs w:val="20"/>
          <w:color w:val="auto"/>
        </w:rPr>
      </w:pPr>
    </w:p>
    <w:p>
      <w:pPr>
        <w:spacing w:after="0" w:line="343" w:lineRule="exact"/>
        <w:rPr>
          <w:sz w:val="20"/>
          <w:szCs w:val="20"/>
          <w:color w:val="auto"/>
        </w:rPr>
      </w:pPr>
    </w:p>
    <w:p>
      <w:pPr>
        <w:jc w:val="both"/>
        <w:ind w:left="360" w:right="366" w:firstLine="641"/>
        <w:spacing w:after="0" w:line="478" w:lineRule="exact"/>
        <w:rPr>
          <w:sz w:val="20"/>
          <w:szCs w:val="20"/>
          <w:color w:val="auto"/>
        </w:rPr>
      </w:pPr>
      <w:r>
        <w:rPr>
          <w:rFonts w:ascii="宋体" w:cs="宋体" w:eastAsia="宋体" w:hAnsi="宋体"/>
          <w:sz w:val="32"/>
          <w:szCs w:val="32"/>
          <w:color w:val="auto"/>
        </w:rPr>
        <w:t>第二十九条 审计机关应当建立被审计单位违法违规行为信息系统，记录被审计单位违法违规行为，以及处理处罚的情况。</w:t>
      </w:r>
    </w:p>
    <w:p>
      <w:pPr>
        <w:spacing w:after="0" w:line="247" w:lineRule="exact"/>
        <w:rPr>
          <w:sz w:val="20"/>
          <w:szCs w:val="20"/>
          <w:color w:val="auto"/>
        </w:rPr>
      </w:pPr>
    </w:p>
    <w:p>
      <w:pPr>
        <w:jc w:val="both"/>
        <w:ind w:left="360" w:right="366" w:firstLine="641"/>
        <w:spacing w:after="0" w:line="437" w:lineRule="exact"/>
        <w:rPr>
          <w:sz w:val="20"/>
          <w:szCs w:val="20"/>
          <w:color w:val="auto"/>
        </w:rPr>
      </w:pPr>
      <w:r>
        <w:rPr>
          <w:rFonts w:ascii="宋体" w:cs="宋体" w:eastAsia="宋体" w:hAnsi="宋体"/>
          <w:sz w:val="32"/>
          <w:szCs w:val="32"/>
          <w:color w:val="auto"/>
        </w:rPr>
        <w:t>被审计单位为企业的，其违法违规行为信息应当按照有关规定同时纳入本市企业信用信息系统。</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ind w:left="4380"/>
        <w:spacing w:after="0" w:line="308" w:lineRule="exact"/>
        <w:rPr>
          <w:sz w:val="20"/>
          <w:szCs w:val="20"/>
          <w:color w:val="auto"/>
        </w:rPr>
      </w:pPr>
      <w:r>
        <w:rPr>
          <w:rFonts w:ascii="宋体" w:cs="宋体" w:eastAsia="宋体" w:hAnsi="宋体"/>
          <w:sz w:val="27"/>
          <w:szCs w:val="27"/>
          <w:color w:val="auto"/>
        </w:rPr>
        <w:t>- 65 -</w:t>
      </w:r>
    </w:p>
    <w:p>
      <w:pPr>
        <w:sectPr>
          <w:pgSz w:w="11900" w:h="16838" w:orient="portrait"/>
          <w:cols w:equalWidth="0" w:num="1">
            <w:col w:w="9026"/>
          </w:cols>
          <w:pgMar w:left="1440" w:top="1440" w:right="1440" w:bottom="500" w:gutter="0" w:footer="0" w:header="0"/>
          <w:type w:val="continuous"/>
        </w:sectPr>
      </w:pPr>
    </w:p>
    <w:bookmarkStart w:id="67" w:name="page68"/>
    <w:bookmarkEnd w:id="67"/>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2100"/>
        <w:spacing w:after="0" w:line="502" w:lineRule="exact"/>
        <w:rPr>
          <w:sz w:val="20"/>
          <w:szCs w:val="20"/>
          <w:color w:val="auto"/>
        </w:rPr>
      </w:pPr>
      <w:r>
        <w:rPr>
          <w:rFonts w:ascii="宋体" w:cs="宋体" w:eastAsia="宋体" w:hAnsi="宋体"/>
          <w:sz w:val="44"/>
          <w:szCs w:val="44"/>
          <w:color w:val="auto"/>
        </w:rPr>
        <w:t>北京市动物防疫条例（节选）</w:t>
      </w:r>
    </w:p>
    <w:p>
      <w:pPr>
        <w:spacing w:after="0" w:line="200" w:lineRule="exact"/>
        <w:rPr>
          <w:sz w:val="20"/>
          <w:szCs w:val="20"/>
          <w:color w:val="auto"/>
        </w:rPr>
      </w:pPr>
    </w:p>
    <w:p>
      <w:pPr>
        <w:spacing w:after="0" w:line="341" w:lineRule="exact"/>
        <w:rPr>
          <w:sz w:val="20"/>
          <w:szCs w:val="20"/>
          <w:color w:val="auto"/>
        </w:rPr>
      </w:pPr>
    </w:p>
    <w:p>
      <w:pPr>
        <w:jc w:val="both"/>
        <w:ind w:left="360" w:right="366" w:firstLine="641"/>
        <w:spacing w:after="0" w:line="512" w:lineRule="exact"/>
        <w:rPr>
          <w:sz w:val="20"/>
          <w:szCs w:val="20"/>
          <w:color w:val="auto"/>
        </w:rPr>
      </w:pPr>
      <w:r>
        <w:rPr>
          <w:rFonts w:ascii="宋体" w:cs="宋体" w:eastAsia="宋体" w:hAnsi="宋体"/>
          <w:sz w:val="32"/>
          <w:szCs w:val="32"/>
          <w:color w:val="auto"/>
        </w:rPr>
        <w:t>第五十二条 本市建立动物防疫信息平台，统一归集、公布从事动物饲养、屠宰、经营、隔离、运输、诊疗，以及动物产品生产、经营、加工、运输、贮藏等活动的单位和个人的信用信息；涉及食品安全的，纳入本市统一的食品安全追溯信息系统。</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p>
      <w:pPr>
        <w:ind w:left="2100"/>
        <w:spacing w:after="0" w:line="502" w:lineRule="exact"/>
        <w:rPr>
          <w:sz w:val="20"/>
          <w:szCs w:val="20"/>
          <w:color w:val="auto"/>
        </w:rPr>
      </w:pPr>
      <w:r>
        <w:rPr>
          <w:rFonts w:ascii="宋体" w:cs="宋体" w:eastAsia="宋体" w:hAnsi="宋体"/>
          <w:sz w:val="44"/>
          <w:szCs w:val="44"/>
          <w:color w:val="auto"/>
        </w:rPr>
        <w:t>北京市食品安全条例（节选）</w:t>
      </w:r>
    </w:p>
    <w:p>
      <w:pPr>
        <w:spacing w:after="0" w:line="200" w:lineRule="exact"/>
        <w:rPr>
          <w:sz w:val="20"/>
          <w:szCs w:val="20"/>
          <w:color w:val="auto"/>
        </w:rPr>
      </w:pPr>
    </w:p>
    <w:p>
      <w:pPr>
        <w:spacing w:after="0" w:line="341" w:lineRule="exact"/>
        <w:rPr>
          <w:sz w:val="20"/>
          <w:szCs w:val="20"/>
          <w:color w:val="auto"/>
        </w:rPr>
      </w:pPr>
    </w:p>
    <w:p>
      <w:pPr>
        <w:jc w:val="both"/>
        <w:ind w:left="360" w:right="346" w:firstLine="641"/>
        <w:spacing w:after="0" w:line="535" w:lineRule="exact"/>
        <w:rPr>
          <w:sz w:val="20"/>
          <w:szCs w:val="20"/>
          <w:color w:val="auto"/>
        </w:rPr>
      </w:pPr>
      <w:r>
        <w:rPr>
          <w:rFonts w:ascii="宋体" w:cs="宋体" w:eastAsia="宋体" w:hAnsi="宋体"/>
          <w:sz w:val="31"/>
          <w:szCs w:val="31"/>
          <w:color w:val="auto"/>
        </w:rPr>
        <w:t>第五十四条 市食品办应当建立全市统一的食品安全信用信息平台，统一归集食品生产经营者的身份信息、提示信息、警示信息、良好信息和违法信息等信用信息，并向社会公开。食品安全监督管理部门应当依法建立食品生产经营者食品安全信用档案，记录许可证颁发、日常监督检查结果、违法行为查处等监督管理过程中获取的有关食品生产经营者食品安全状况的信息，并将相关信息纳入食品安全信用信息平台。食品安全监督管理部门可以根据食品生产经营者信用状况、食品的风险程度对食品生产经营者实行分级分类或者积分管理，对有不良信用记录的、发生食品安全事故风险</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ind w:left="4380"/>
        <w:spacing w:after="0" w:line="308" w:lineRule="exact"/>
        <w:rPr>
          <w:sz w:val="20"/>
          <w:szCs w:val="20"/>
          <w:color w:val="auto"/>
        </w:rPr>
      </w:pPr>
      <w:r>
        <w:rPr>
          <w:rFonts w:ascii="宋体" w:cs="宋体" w:eastAsia="宋体" w:hAnsi="宋体"/>
          <w:sz w:val="27"/>
          <w:szCs w:val="27"/>
          <w:color w:val="auto"/>
        </w:rPr>
        <w:t>- 66 -</w:t>
      </w:r>
    </w:p>
    <w:p>
      <w:pPr>
        <w:sectPr>
          <w:pgSz w:w="11900" w:h="16838" w:orient="portrait"/>
          <w:cols w:equalWidth="0" w:num="1">
            <w:col w:w="9026"/>
          </w:cols>
          <w:pgMar w:left="1440" w:top="1440" w:right="1440" w:bottom="500" w:gutter="0" w:footer="0" w:header="0"/>
          <w:type w:val="continuous"/>
        </w:sectPr>
      </w:pPr>
    </w:p>
    <w:bookmarkStart w:id="68" w:name="page69"/>
    <w:bookmarkEnd w:id="68"/>
    <w:p>
      <w:pPr>
        <w:spacing w:after="0" w:line="177" w:lineRule="exact"/>
        <w:rPr>
          <w:sz w:val="20"/>
          <w:szCs w:val="20"/>
          <w:color w:val="auto"/>
        </w:rPr>
      </w:pPr>
    </w:p>
    <w:p>
      <w:pPr>
        <w:jc w:val="both"/>
        <w:ind w:left="360" w:right="346"/>
        <w:spacing w:after="0" w:line="478" w:lineRule="exact"/>
        <w:rPr>
          <w:sz w:val="20"/>
          <w:szCs w:val="20"/>
          <w:color w:val="auto"/>
        </w:rPr>
      </w:pPr>
      <w:r>
        <w:rPr>
          <w:rFonts w:ascii="宋体" w:cs="宋体" w:eastAsia="宋体" w:hAnsi="宋体"/>
          <w:sz w:val="31"/>
          <w:szCs w:val="31"/>
          <w:color w:val="auto"/>
        </w:rPr>
        <w:t>较高的食品生产经营者重点加强管理，增加监督检查频次；食品生产经营者食品安全信用状况可以作为食品安全监督管理部门是否批准延续相关行政许可申请的重要评价依据。</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4" w:lineRule="exact"/>
        <w:rPr>
          <w:sz w:val="20"/>
          <w:szCs w:val="20"/>
          <w:color w:val="auto"/>
        </w:rPr>
      </w:pPr>
    </w:p>
    <w:p>
      <w:pPr>
        <w:ind w:left="1880"/>
        <w:spacing w:after="0" w:line="502" w:lineRule="exact"/>
        <w:rPr>
          <w:sz w:val="20"/>
          <w:szCs w:val="20"/>
          <w:color w:val="auto"/>
        </w:rPr>
      </w:pPr>
      <w:r>
        <w:rPr>
          <w:rFonts w:ascii="宋体" w:cs="宋体" w:eastAsia="宋体" w:hAnsi="宋体"/>
          <w:sz w:val="44"/>
          <w:szCs w:val="44"/>
          <w:color w:val="auto"/>
        </w:rPr>
        <w:t>北京市信息化促进条例（节选）</w:t>
      </w:r>
    </w:p>
    <w:p>
      <w:pPr>
        <w:spacing w:after="0" w:line="200" w:lineRule="exact"/>
        <w:rPr>
          <w:sz w:val="20"/>
          <w:szCs w:val="20"/>
          <w:color w:val="auto"/>
        </w:rPr>
      </w:pPr>
    </w:p>
    <w:p>
      <w:pPr>
        <w:spacing w:after="0" w:line="341" w:lineRule="exact"/>
        <w:rPr>
          <w:sz w:val="20"/>
          <w:szCs w:val="20"/>
          <w:color w:val="auto"/>
        </w:rPr>
      </w:pPr>
    </w:p>
    <w:p>
      <w:pPr>
        <w:jc w:val="both"/>
        <w:ind w:left="360" w:right="366" w:firstLine="641"/>
        <w:spacing w:after="0" w:line="479" w:lineRule="exact"/>
        <w:rPr>
          <w:sz w:val="20"/>
          <w:szCs w:val="20"/>
          <w:color w:val="auto"/>
        </w:rPr>
      </w:pPr>
      <w:r>
        <w:rPr>
          <w:rFonts w:ascii="宋体" w:cs="宋体" w:eastAsia="宋体" w:hAnsi="宋体"/>
          <w:sz w:val="31"/>
          <w:szCs w:val="31"/>
          <w:color w:val="auto"/>
        </w:rPr>
        <w:t>第二十三条 信用服务中介机构开展征信活动时，应当遵循独立、客观、公正的原则，保守商业秘密，尊重个人隐私，维护被征信企业及个人的合法权益和社会公共利益。</w:t>
      </w:r>
    </w:p>
    <w:p>
      <w:pPr>
        <w:spacing w:after="0" w:line="244" w:lineRule="exact"/>
        <w:rPr>
          <w:sz w:val="20"/>
          <w:szCs w:val="20"/>
          <w:color w:val="auto"/>
        </w:rPr>
      </w:pPr>
    </w:p>
    <w:p>
      <w:pPr>
        <w:jc w:val="both"/>
        <w:ind w:left="360" w:right="366" w:firstLine="641"/>
        <w:spacing w:after="0" w:line="480" w:lineRule="exact"/>
        <w:rPr>
          <w:sz w:val="20"/>
          <w:szCs w:val="20"/>
          <w:color w:val="auto"/>
        </w:rPr>
      </w:pPr>
      <w:r>
        <w:rPr>
          <w:rFonts w:ascii="宋体" w:cs="宋体" w:eastAsia="宋体" w:hAnsi="宋体"/>
          <w:sz w:val="32"/>
          <w:szCs w:val="32"/>
          <w:color w:val="auto"/>
        </w:rPr>
        <w:t>信用服务中介机构对采集的信息应当在信息提供者许可的范围内使用。鼓励在政府采购、市场监管、信贷、商务等活动中使用信用服务中介机构提供的信用产品。</w:t>
      </w:r>
    </w:p>
    <w:p>
      <w:pPr>
        <w:spacing w:after="0" w:line="243" w:lineRule="exact"/>
        <w:rPr>
          <w:sz w:val="20"/>
          <w:szCs w:val="20"/>
          <w:color w:val="auto"/>
        </w:rPr>
      </w:pPr>
    </w:p>
    <w:p>
      <w:pPr>
        <w:jc w:val="both"/>
        <w:ind w:left="360" w:right="346" w:firstLine="641"/>
        <w:spacing w:after="0" w:line="499" w:lineRule="exact"/>
        <w:rPr>
          <w:sz w:val="20"/>
          <w:szCs w:val="20"/>
          <w:color w:val="auto"/>
        </w:rPr>
      </w:pPr>
      <w:r>
        <w:rPr>
          <w:rFonts w:ascii="宋体" w:cs="宋体" w:eastAsia="宋体" w:hAnsi="宋体"/>
          <w:sz w:val="32"/>
          <w:szCs w:val="32"/>
          <w:color w:val="auto"/>
        </w:rPr>
        <w:t>第二十四条 市和区、县人民政府应当采取措施推动企业和个人利用信息网络从事商务活动，引导社会逐步建立、完善信用体系和网上支付、物流配送系统，鼓励电子商务服务提供商的发展。</w:t>
      </w:r>
    </w:p>
    <w:p>
      <w:pPr>
        <w:spacing w:after="0" w:line="244" w:lineRule="exact"/>
        <w:rPr>
          <w:sz w:val="20"/>
          <w:szCs w:val="20"/>
          <w:color w:val="auto"/>
        </w:rPr>
      </w:pPr>
    </w:p>
    <w:p>
      <w:pPr>
        <w:jc w:val="both"/>
        <w:ind w:left="360" w:right="346" w:firstLine="641"/>
        <w:spacing w:after="0" w:line="440" w:lineRule="exact"/>
        <w:rPr>
          <w:sz w:val="20"/>
          <w:szCs w:val="20"/>
          <w:color w:val="auto"/>
        </w:rPr>
      </w:pPr>
      <w:r>
        <w:rPr>
          <w:rFonts w:ascii="宋体" w:cs="宋体" w:eastAsia="宋体" w:hAnsi="宋体"/>
          <w:sz w:val="31"/>
          <w:szCs w:val="31"/>
          <w:color w:val="auto"/>
        </w:rPr>
        <w:t>市人民政府有关部门应当制定以中小企业为主的企业信息化发展指南，建设面向中小企业的公共信息服务平台。</w:t>
      </w:r>
    </w:p>
    <w:p>
      <w:pPr>
        <w:spacing w:after="0" w:line="243" w:lineRule="exact"/>
        <w:rPr>
          <w:sz w:val="20"/>
          <w:szCs w:val="20"/>
          <w:color w:val="auto"/>
        </w:rPr>
      </w:pPr>
    </w:p>
    <w:p>
      <w:pPr>
        <w:jc w:val="both"/>
        <w:ind w:left="360" w:right="346" w:firstLine="641"/>
        <w:spacing w:after="0" w:line="499" w:lineRule="exact"/>
        <w:rPr>
          <w:sz w:val="20"/>
          <w:szCs w:val="20"/>
          <w:color w:val="auto"/>
        </w:rPr>
      </w:pPr>
      <w:r>
        <w:rPr>
          <w:rFonts w:ascii="宋体" w:cs="宋体" w:eastAsia="宋体" w:hAnsi="宋体"/>
          <w:sz w:val="32"/>
          <w:szCs w:val="32"/>
          <w:color w:val="auto"/>
        </w:rPr>
        <w:t>第二十七条 电子商务服务提供商应当对利用其网站从事经营活动的经营主体的身份信息、合法经营凭证和反映交易信用状况的材料进行核查，并对相关信息做好数据备份，便于当事人和有关部门查询、核对。</w:t>
      </w:r>
    </w:p>
    <w:p>
      <w:pPr>
        <w:spacing w:after="0" w:line="207" w:lineRule="exact"/>
        <w:rPr>
          <w:sz w:val="20"/>
          <w:szCs w:val="20"/>
          <w:color w:val="auto"/>
        </w:rPr>
      </w:pPr>
    </w:p>
    <w:p>
      <w:pPr>
        <w:ind w:left="1000"/>
        <w:spacing w:after="0" w:line="354" w:lineRule="exact"/>
        <w:rPr>
          <w:sz w:val="20"/>
          <w:szCs w:val="20"/>
          <w:color w:val="auto"/>
        </w:rPr>
      </w:pPr>
      <w:r>
        <w:rPr>
          <w:rFonts w:ascii="宋体" w:cs="宋体" w:eastAsia="宋体" w:hAnsi="宋体"/>
          <w:sz w:val="31"/>
          <w:szCs w:val="31"/>
          <w:color w:val="auto"/>
        </w:rPr>
        <w:t>电子商务服务提供商应当建立投诉受理机制，对利用其</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3" w:lineRule="exact"/>
        <w:rPr>
          <w:sz w:val="20"/>
          <w:szCs w:val="20"/>
          <w:color w:val="auto"/>
        </w:rPr>
      </w:pPr>
    </w:p>
    <w:p>
      <w:pPr>
        <w:ind w:left="4380"/>
        <w:spacing w:after="0" w:line="308" w:lineRule="exact"/>
        <w:rPr>
          <w:sz w:val="20"/>
          <w:szCs w:val="20"/>
          <w:color w:val="auto"/>
        </w:rPr>
      </w:pPr>
      <w:r>
        <w:rPr>
          <w:rFonts w:ascii="宋体" w:cs="宋体" w:eastAsia="宋体" w:hAnsi="宋体"/>
          <w:sz w:val="27"/>
          <w:szCs w:val="27"/>
          <w:color w:val="auto"/>
        </w:rPr>
        <w:t>- 67 -</w:t>
      </w:r>
    </w:p>
    <w:p>
      <w:pPr>
        <w:sectPr>
          <w:pgSz w:w="11900" w:h="16838" w:orient="portrait"/>
          <w:cols w:equalWidth="0" w:num="1">
            <w:col w:w="9026"/>
          </w:cols>
          <w:pgMar w:left="1440" w:top="1440" w:right="1440" w:bottom="500" w:gutter="0" w:footer="0" w:header="0"/>
          <w:type w:val="continuous"/>
        </w:sectPr>
      </w:pPr>
    </w:p>
    <w:bookmarkStart w:id="69" w:name="page70"/>
    <w:bookmarkEnd w:id="69"/>
    <w:p>
      <w:pPr>
        <w:spacing w:after="0" w:line="177" w:lineRule="exact"/>
        <w:rPr>
          <w:sz w:val="20"/>
          <w:szCs w:val="20"/>
          <w:color w:val="auto"/>
        </w:rPr>
      </w:pPr>
    </w:p>
    <w:p>
      <w:pPr>
        <w:jc w:val="both"/>
        <w:ind w:left="360" w:right="366"/>
        <w:spacing w:after="0" w:line="437" w:lineRule="exact"/>
        <w:rPr>
          <w:sz w:val="20"/>
          <w:szCs w:val="20"/>
          <w:color w:val="auto"/>
        </w:rPr>
      </w:pPr>
      <w:r>
        <w:rPr>
          <w:rFonts w:ascii="宋体" w:cs="宋体" w:eastAsia="宋体" w:hAnsi="宋体"/>
          <w:sz w:val="32"/>
          <w:szCs w:val="32"/>
          <w:color w:val="auto"/>
        </w:rPr>
        <w:t>网站从事的经营活动进行监督，配合政府有关部门的管理活动，但不得妨碍相关经营主体开展正常交易活动。</w:t>
      </w:r>
    </w:p>
    <w:p>
      <w:pPr>
        <w:spacing w:after="0" w:line="245" w:lineRule="exact"/>
        <w:rPr>
          <w:sz w:val="20"/>
          <w:szCs w:val="20"/>
          <w:color w:val="auto"/>
        </w:rPr>
      </w:pPr>
    </w:p>
    <w:p>
      <w:pPr>
        <w:jc w:val="both"/>
        <w:ind w:left="360" w:right="366" w:firstLine="641"/>
        <w:spacing w:after="0" w:line="480" w:lineRule="exact"/>
        <w:rPr>
          <w:sz w:val="20"/>
          <w:szCs w:val="20"/>
          <w:color w:val="auto"/>
        </w:rPr>
      </w:pPr>
      <w:r>
        <w:rPr>
          <w:rFonts w:ascii="宋体" w:cs="宋体" w:eastAsia="宋体" w:hAnsi="宋体"/>
          <w:sz w:val="32"/>
          <w:szCs w:val="32"/>
          <w:color w:val="auto"/>
        </w:rPr>
        <w:t>第四十二条 市和区、县人民政府有关部门根据职责分工，做好信息化相关领域的监督检查工作，并将相关信息向同级信息化主管部门通报。</w:t>
      </w:r>
    </w:p>
    <w:p>
      <w:pPr>
        <w:spacing w:after="0" w:line="243" w:lineRule="exact"/>
        <w:rPr>
          <w:sz w:val="20"/>
          <w:szCs w:val="20"/>
          <w:color w:val="auto"/>
        </w:rPr>
      </w:pPr>
    </w:p>
    <w:p>
      <w:pPr>
        <w:jc w:val="both"/>
        <w:ind w:left="360" w:right="366" w:firstLine="641"/>
        <w:spacing w:after="0" w:line="438" w:lineRule="exact"/>
        <w:rPr>
          <w:sz w:val="20"/>
          <w:szCs w:val="20"/>
          <w:color w:val="auto"/>
        </w:rPr>
      </w:pPr>
      <w:r>
        <w:rPr>
          <w:rFonts w:ascii="宋体" w:cs="宋体" w:eastAsia="宋体" w:hAnsi="宋体"/>
          <w:sz w:val="32"/>
          <w:szCs w:val="32"/>
          <w:color w:val="auto"/>
        </w:rPr>
        <w:t>企业、事业单位和个人的违法行为可以依法纳入相关信用信息系统。</w:t>
      </w:r>
    </w:p>
    <w:p>
      <w:pPr>
        <w:sectPr>
          <w:pgSz w:w="11900" w:h="16838" w:orient="portrait"/>
          <w:cols w:equalWidth="0" w:num="1">
            <w:col w:w="9026"/>
          </w:cols>
          <w:pgMar w:left="1440" w:top="1440" w:right="1440" w:bottom="50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ind w:left="4380"/>
        <w:spacing w:after="0" w:line="308" w:lineRule="exact"/>
        <w:rPr>
          <w:sz w:val="20"/>
          <w:szCs w:val="20"/>
          <w:color w:val="auto"/>
        </w:rPr>
      </w:pPr>
      <w:r>
        <w:rPr>
          <w:rFonts w:ascii="宋体" w:cs="宋体" w:eastAsia="宋体" w:hAnsi="宋体"/>
          <w:sz w:val="27"/>
          <w:szCs w:val="27"/>
          <w:color w:val="auto"/>
        </w:rPr>
        <w:t>- 68 -</w:t>
      </w:r>
    </w:p>
    <w:sectPr>
      <w:pgSz w:w="11900" w:h="16838" w:orient="portrait"/>
      <w:cols w:equalWidth="0" w:num="1">
        <w:col w:w="9026"/>
      </w:cols>
      <w:pgMar w:left="1440" w:top="1440" w:right="1440" w:bottom="50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panose1 w:val="02010600030101010101"/>
    <w:charset w:val="86"/>
    <w:family w:val="auto"/>
    <w:pitch w:val="variable"/>
    <w:sig w:usb0="00000003" w:usb1="288F0000" w:usb2="0000000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400001FF" w:csb1="FFFF0000"/>
  </w:font>
</w:fonts>
</file>

<file path=word/numbering.xml><?xml version="1.0" encoding="utf-8"?>
<w:numbering xmlns:w="http://schemas.openxmlformats.org/wordprocessingml/2006/main">
  <w:abstractNum w:abstractNumId="0">
    <w:nsid w:val="5F90"/>
    <w:multiLevelType w:val="hybridMultilevel"/>
    <w:lvl w:ilvl="0">
      <w:lvlJc w:val="left"/>
      <w:lvlText w:val="等"/>
      <w:numFmt w:val="bullet"/>
      <w:start w:val="1"/>
    </w:lvl>
  </w:abstractNum>
  <w:abstractNum w:abstractNumId="1">
    <w:nsid w:val="1649"/>
    <w:multiLevelType w:val="hybridMultilevel"/>
    <w:lvl w:ilvl="0">
      <w:lvlJc w:val="left"/>
      <w:lvlText w:val="%1"/>
      <w:numFmt w:val="decimal"/>
      <w:start w:val="15"/>
    </w:lvl>
  </w:abstractNum>
  <w:abstractNum w:abstractNumId="2">
    <w:nsid w:val="6DF1"/>
    <w:multiLevelType w:val="hybridMultilevel"/>
    <w:lvl w:ilvl="0">
      <w:lvlJc w:val="left"/>
      <w:lvlText w:val="%1"/>
      <w:numFmt w:val="upperLetter"/>
      <w:start w:val="53"/>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2021-04-12T10:11:20Z</dcterms:created>
  <dcterms:modified xsi:type="dcterms:W3CDTF">2021-04-12T10:11:20Z</dcterms:modified>
</cp:coreProperties>
</file>